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16F23810" w:rsidR="00F110CD" w:rsidRPr="009977DA" w:rsidRDefault="00F110CD" w:rsidP="00F110CD">
      <w:pPr>
        <w:pStyle w:val="Header"/>
        <w:tabs>
          <w:tab w:val="right" w:pos="9639"/>
        </w:tabs>
        <w:rPr>
          <w:sz w:val="24"/>
          <w:szCs w:val="24"/>
          <w:lang w:val="de-DE"/>
        </w:rPr>
      </w:pPr>
      <w:bookmarkStart w:id="0" w:name="_Hlk37418177"/>
      <w:r w:rsidRPr="009977DA">
        <w:rPr>
          <w:bCs/>
          <w:noProof w:val="0"/>
          <w:sz w:val="24"/>
          <w:szCs w:val="24"/>
          <w:lang w:val="de-DE"/>
        </w:rPr>
        <w:t>3GPP TSG RA</w:t>
      </w:r>
      <w:r w:rsidR="00BA1872" w:rsidRPr="009977DA">
        <w:rPr>
          <w:bCs/>
          <w:noProof w:val="0"/>
          <w:sz w:val="24"/>
          <w:szCs w:val="24"/>
          <w:lang w:val="de-DE"/>
        </w:rPr>
        <w:t>N WG</w:t>
      </w:r>
      <w:r w:rsidR="00EA61D9">
        <w:rPr>
          <w:bCs/>
          <w:noProof w:val="0"/>
          <w:sz w:val="24"/>
          <w:szCs w:val="24"/>
          <w:lang w:val="de-DE"/>
        </w:rPr>
        <w:t xml:space="preserve">4 </w:t>
      </w:r>
      <w:r w:rsidR="00B65452" w:rsidRPr="009977DA">
        <w:rPr>
          <w:bCs/>
          <w:noProof w:val="0"/>
          <w:sz w:val="24"/>
          <w:szCs w:val="24"/>
          <w:lang w:val="de-DE"/>
        </w:rPr>
        <w:t>#</w:t>
      </w:r>
      <w:r w:rsidR="005402C7" w:rsidRPr="009977DA">
        <w:rPr>
          <w:bCs/>
          <w:noProof w:val="0"/>
          <w:sz w:val="24"/>
          <w:szCs w:val="24"/>
          <w:lang w:val="de-DE"/>
        </w:rPr>
        <w:t>11</w:t>
      </w:r>
      <w:r w:rsidR="00A80DDE">
        <w:rPr>
          <w:bCs/>
          <w:noProof w:val="0"/>
          <w:sz w:val="24"/>
          <w:szCs w:val="24"/>
          <w:lang w:val="de-DE"/>
        </w:rPr>
        <w:t>2</w:t>
      </w:r>
      <w:r w:rsidR="001348FE" w:rsidRPr="009977DA">
        <w:rPr>
          <w:bCs/>
          <w:noProof w:val="0"/>
          <w:sz w:val="24"/>
          <w:szCs w:val="24"/>
          <w:lang w:val="de-DE"/>
        </w:rPr>
        <w:tab/>
      </w:r>
      <w:r w:rsidR="00E01AEF" w:rsidRPr="00E01AEF">
        <w:rPr>
          <w:bCs/>
          <w:noProof w:val="0"/>
          <w:sz w:val="24"/>
          <w:szCs w:val="24"/>
          <w:lang w:val="de-DE"/>
        </w:rPr>
        <w:t>R4-2413235</w:t>
      </w:r>
    </w:p>
    <w:p w14:paraId="2CFE1919" w14:textId="184DCD21" w:rsidR="00850D96" w:rsidRPr="00850D96" w:rsidRDefault="00A80DDE" w:rsidP="00CA26CE">
      <w:pPr>
        <w:pStyle w:val="Header"/>
        <w:rPr>
          <w:bCs/>
          <w:noProof w:val="0"/>
          <w:sz w:val="24"/>
          <w:lang w:val="en-GB" w:eastAsia="ja-JP"/>
        </w:rPr>
      </w:pPr>
      <w:r>
        <w:rPr>
          <w:bCs/>
          <w:noProof w:val="0"/>
          <w:sz w:val="24"/>
          <w:szCs w:val="24"/>
        </w:rPr>
        <w:t>Maastricht</w:t>
      </w:r>
      <w:r w:rsidR="007D1104" w:rsidRPr="007D1104">
        <w:rPr>
          <w:bCs/>
          <w:noProof w:val="0"/>
          <w:sz w:val="24"/>
          <w:szCs w:val="24"/>
        </w:rPr>
        <w:t xml:space="preserve">, </w:t>
      </w:r>
      <w:r>
        <w:rPr>
          <w:bCs/>
          <w:noProof w:val="0"/>
          <w:sz w:val="24"/>
          <w:szCs w:val="24"/>
        </w:rPr>
        <w:t>Netherlands</w:t>
      </w:r>
      <w:r w:rsidR="00EA61D9" w:rsidRPr="007D1104">
        <w:rPr>
          <w:bCs/>
          <w:noProof w:val="0"/>
          <w:sz w:val="24"/>
          <w:szCs w:val="24"/>
        </w:rPr>
        <w:t>,</w:t>
      </w:r>
      <w:r w:rsidR="00EA61D9">
        <w:rPr>
          <w:bCs/>
          <w:noProof w:val="0"/>
          <w:sz w:val="24"/>
          <w:szCs w:val="24"/>
        </w:rPr>
        <w:t xml:space="preserve"> </w:t>
      </w:r>
      <w:r>
        <w:rPr>
          <w:bCs/>
          <w:noProof w:val="0"/>
          <w:sz w:val="24"/>
          <w:szCs w:val="24"/>
        </w:rPr>
        <w:t>Aug</w:t>
      </w:r>
      <w:r w:rsidR="00EA61D9">
        <w:rPr>
          <w:bCs/>
          <w:noProof w:val="0"/>
          <w:sz w:val="24"/>
          <w:szCs w:val="24"/>
        </w:rPr>
        <w:t xml:space="preserve"> </w:t>
      </w:r>
      <w:r>
        <w:rPr>
          <w:bCs/>
          <w:noProof w:val="0"/>
          <w:sz w:val="24"/>
          <w:szCs w:val="24"/>
        </w:rPr>
        <w:t>19</w:t>
      </w:r>
      <w:r w:rsidR="00EA61D9">
        <w:rPr>
          <w:bCs/>
          <w:noProof w:val="0"/>
          <w:sz w:val="24"/>
          <w:szCs w:val="24"/>
        </w:rPr>
        <w:t xml:space="preserve"> – </w:t>
      </w:r>
      <w:r w:rsidR="008B4F75">
        <w:rPr>
          <w:bCs/>
          <w:noProof w:val="0"/>
          <w:sz w:val="24"/>
          <w:szCs w:val="24"/>
        </w:rPr>
        <w:t>2</w:t>
      </w:r>
      <w:r>
        <w:rPr>
          <w:bCs/>
          <w:noProof w:val="0"/>
          <w:sz w:val="24"/>
          <w:szCs w:val="24"/>
        </w:rPr>
        <w:t>3</w:t>
      </w:r>
      <w:r w:rsidR="00EA61D9">
        <w:rPr>
          <w:bCs/>
          <w:noProof w:val="0"/>
          <w:sz w:val="24"/>
          <w:szCs w:val="24"/>
        </w:rPr>
        <w:t>, 2024</w:t>
      </w:r>
      <w:bookmarkEnd w:id="0"/>
    </w:p>
    <w:p w14:paraId="2BC49C60" w14:textId="77777777" w:rsidR="007D1104" w:rsidRDefault="007D1104" w:rsidP="16512788">
      <w:pPr>
        <w:pStyle w:val="CRCoverPage"/>
        <w:rPr>
          <w:rFonts w:cs="Arial"/>
          <w:b/>
          <w:bCs/>
          <w:sz w:val="24"/>
          <w:szCs w:val="24"/>
        </w:rPr>
      </w:pPr>
    </w:p>
    <w:p w14:paraId="30E02941" w14:textId="0B864C2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80446" w:rsidRPr="00037015">
        <w:rPr>
          <w:rFonts w:cs="Arial"/>
          <w:b/>
          <w:bCs/>
          <w:sz w:val="24"/>
          <w:szCs w:val="24"/>
        </w:rPr>
        <w:t>8</w:t>
      </w:r>
      <w:r w:rsidR="003876CF" w:rsidRPr="00037015">
        <w:rPr>
          <w:rFonts w:cs="Arial"/>
          <w:b/>
          <w:bCs/>
          <w:sz w:val="24"/>
          <w:szCs w:val="24"/>
        </w:rPr>
        <w:t>.1</w:t>
      </w:r>
      <w:r w:rsidR="00980446" w:rsidRPr="00037015">
        <w:rPr>
          <w:rFonts w:cs="Arial"/>
          <w:b/>
          <w:bCs/>
          <w:sz w:val="24"/>
          <w:szCs w:val="24"/>
        </w:rPr>
        <w:t>9</w:t>
      </w:r>
      <w:r w:rsidR="003876CF" w:rsidRPr="00037015">
        <w:rPr>
          <w:rFonts w:cs="Arial"/>
          <w:b/>
          <w:bCs/>
          <w:sz w:val="24"/>
          <w:szCs w:val="24"/>
        </w:rPr>
        <w:t>.2</w:t>
      </w:r>
      <w:r w:rsidR="007E62AC" w:rsidRPr="00037015">
        <w:rPr>
          <w:rFonts w:cs="Arial"/>
          <w:b/>
          <w:bCs/>
          <w:sz w:val="24"/>
          <w:szCs w:val="24"/>
        </w:rPr>
        <w:t>.</w:t>
      </w:r>
      <w:r w:rsidR="00D16CE6">
        <w:rPr>
          <w:rFonts w:cs="Arial"/>
          <w:b/>
          <w:bCs/>
          <w:sz w:val="24"/>
          <w:szCs w:val="24"/>
        </w:rPr>
        <w:t>3</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34056DDB"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7E62AC">
        <w:rPr>
          <w:rFonts w:ascii="Arial" w:hAnsi="Arial" w:cs="Arial"/>
          <w:b/>
          <w:sz w:val="24"/>
          <w:szCs w:val="24"/>
          <w:lang w:val="en-US"/>
        </w:rPr>
        <w:t>existing</w:t>
      </w:r>
      <w:r w:rsidR="00EA61D9">
        <w:rPr>
          <w:rFonts w:ascii="Arial" w:hAnsi="Arial" w:cs="Arial"/>
          <w:b/>
          <w:sz w:val="24"/>
          <w:szCs w:val="24"/>
          <w:lang w:val="en-US"/>
        </w:rPr>
        <w:t xml:space="preserve"> BS RF </w:t>
      </w:r>
      <w:r w:rsidR="00D16CE6">
        <w:rPr>
          <w:rFonts w:ascii="Arial" w:hAnsi="Arial" w:cs="Arial"/>
          <w:b/>
          <w:sz w:val="24"/>
          <w:szCs w:val="24"/>
          <w:lang w:val="en-US"/>
        </w:rPr>
        <w:t xml:space="preserve">Rx </w:t>
      </w:r>
      <w:r w:rsidR="00EA61D9">
        <w:rPr>
          <w:rFonts w:ascii="Arial" w:hAnsi="Arial" w:cs="Arial"/>
          <w:b/>
          <w:sz w:val="24"/>
          <w:szCs w:val="24"/>
          <w:lang w:val="en-US"/>
        </w:rPr>
        <w:t>requirements</w:t>
      </w:r>
      <w:r w:rsidR="00A23DEE">
        <w:rPr>
          <w:rFonts w:ascii="Arial" w:hAnsi="Arial" w:cs="Arial"/>
          <w:b/>
          <w:sz w:val="24"/>
          <w:szCs w:val="24"/>
          <w:lang w:val="en-US"/>
        </w:rPr>
        <w:t xml:space="preserve"> for SBFD operation</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22A05965" w14:textId="18B6C20B" w:rsidR="001A599C" w:rsidRDefault="001A599C" w:rsidP="001A599C">
      <w:r>
        <w:t xml:space="preserve">A </w:t>
      </w:r>
      <w:r w:rsidR="002C3049">
        <w:t>Way Forward</w:t>
      </w:r>
      <w:r>
        <w:t xml:space="preserve"> was </w:t>
      </w:r>
      <w:r w:rsidR="002C3049">
        <w:t>agreed</w:t>
      </w:r>
      <w:r>
        <w:t xml:space="preserve"> in RAN</w:t>
      </w:r>
      <w:r w:rsidR="002C3049">
        <w:t>4</w:t>
      </w:r>
      <w:r>
        <w:t>#1</w:t>
      </w:r>
      <w:r w:rsidR="002C3049">
        <w:t>1</w:t>
      </w:r>
      <w:r w:rsidR="00F01F2A">
        <w:t>1</w:t>
      </w:r>
      <w:r>
        <w:t xml:space="preserve"> [1] regarding </w:t>
      </w:r>
      <w:r w:rsidR="00A01F6F">
        <w:t>evolution of NR duplex operation</w:t>
      </w:r>
      <w:r>
        <w:t xml:space="preserve">. </w:t>
      </w:r>
      <w:r w:rsidR="002C3049">
        <w:t>The following agreements were made</w:t>
      </w:r>
      <w:r w:rsidR="00F01F2A">
        <w:t xml:space="preserve"> that have impact on the existing BS RF requirements for SBFD operation</w:t>
      </w:r>
      <w:r>
        <w:t>:</w:t>
      </w:r>
    </w:p>
    <w:p w14:paraId="6A33ABEB" w14:textId="77777777" w:rsidR="00F01F2A" w:rsidRPr="00F01F2A" w:rsidRDefault="00F01F2A" w:rsidP="00F01F2A">
      <w:pPr>
        <w:overflowPunct/>
        <w:autoSpaceDE/>
        <w:autoSpaceDN/>
        <w:adjustRightInd/>
        <w:jc w:val="both"/>
        <w:textAlignment w:val="auto"/>
        <w:rPr>
          <w:lang w:val="en-US" w:eastAsia="zh-CN"/>
        </w:rPr>
      </w:pPr>
    </w:p>
    <w:p w14:paraId="5B5747E3" w14:textId="77777777" w:rsidR="00F01F2A" w:rsidRPr="00F01F2A" w:rsidRDefault="00F01F2A" w:rsidP="00F01F2A">
      <w:pPr>
        <w:keepNext/>
        <w:keepLines/>
        <w:numPr>
          <w:ilvl w:val="1"/>
          <w:numId w:val="0"/>
        </w:numPr>
        <w:overflowPunct/>
        <w:autoSpaceDE/>
        <w:autoSpaceDN/>
        <w:adjustRightInd/>
        <w:spacing w:before="180"/>
        <w:ind w:left="576" w:hanging="576"/>
        <w:textAlignment w:val="auto"/>
        <w:outlineLvl w:val="1"/>
        <w:rPr>
          <w:rFonts w:ascii="Arial" w:eastAsia="Yu Mincho" w:hAnsi="Arial"/>
          <w:sz w:val="22"/>
          <w:szCs w:val="14"/>
          <w:lang w:val="en-US" w:eastAsia="zh-CN"/>
        </w:rPr>
      </w:pPr>
      <w:r w:rsidRPr="00F01F2A">
        <w:rPr>
          <w:rFonts w:ascii="Arial" w:eastAsia="Yu Mincho" w:hAnsi="Arial"/>
          <w:sz w:val="22"/>
          <w:szCs w:val="14"/>
          <w:lang w:val="en-US" w:eastAsia="zh-CN"/>
        </w:rPr>
        <w:t>Modification of existing requirements - TX</w:t>
      </w:r>
    </w:p>
    <w:p w14:paraId="3E6DB06C" w14:textId="77777777" w:rsidR="00F01F2A" w:rsidRPr="00F01F2A" w:rsidRDefault="00F01F2A" w:rsidP="00F01F2A">
      <w:pPr>
        <w:keepNext/>
        <w:keepLines/>
        <w:spacing w:before="120"/>
        <w:outlineLvl w:val="3"/>
        <w:rPr>
          <w:rFonts w:ascii="Arial" w:eastAsia="Yu Mincho" w:hAnsi="Arial"/>
          <w:lang w:val="en-US" w:eastAsia="zh-CN"/>
        </w:rPr>
      </w:pPr>
      <w:r w:rsidRPr="00F01F2A">
        <w:rPr>
          <w:rFonts w:ascii="Arial" w:eastAsia="Yu Mincho" w:hAnsi="Arial"/>
          <w:lang w:val="en-US" w:eastAsia="zh-CN"/>
        </w:rPr>
        <w:t>Issue 2-1-1: PSD scaling for normal and SBFD slots/symbols</w:t>
      </w:r>
    </w:p>
    <w:p w14:paraId="1115FABA" w14:textId="77777777" w:rsidR="00F01F2A" w:rsidRPr="00F01F2A" w:rsidRDefault="00F01F2A" w:rsidP="00F01F2A">
      <w:pPr>
        <w:numPr>
          <w:ilvl w:val="0"/>
          <w:numId w:val="19"/>
        </w:numPr>
        <w:overflowPunct/>
        <w:autoSpaceDE/>
        <w:autoSpaceDN/>
        <w:adjustRightInd/>
        <w:spacing w:after="120" w:line="259" w:lineRule="auto"/>
        <w:ind w:left="720"/>
        <w:textAlignment w:val="auto"/>
        <w:rPr>
          <w:rFonts w:eastAsia="MS Mincho"/>
          <w:highlight w:val="green"/>
          <w:lang w:val="en-US"/>
        </w:rPr>
      </w:pPr>
      <w:r w:rsidRPr="00F01F2A">
        <w:rPr>
          <w:rFonts w:eastAsia="MS Mincho"/>
          <w:highlight w:val="green"/>
          <w:lang w:val="en-US"/>
        </w:rPr>
        <w:t xml:space="preserve">Agreement: </w:t>
      </w:r>
    </w:p>
    <w:p w14:paraId="13405CBB" w14:textId="77777777" w:rsidR="00F01F2A" w:rsidRPr="00F01F2A" w:rsidRDefault="00F01F2A" w:rsidP="00F01F2A">
      <w:pPr>
        <w:numPr>
          <w:ilvl w:val="1"/>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PSD scaling for normal and SBFD slots/symbols: </w:t>
      </w:r>
    </w:p>
    <w:p w14:paraId="27323D63" w14:textId="77777777" w:rsidR="00F01F2A" w:rsidRPr="00F01F2A" w:rsidRDefault="00F01F2A" w:rsidP="00F01F2A">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No need to introduce the restriction on PSD scaling for </w:t>
      </w:r>
      <w:r w:rsidRPr="00F01F2A">
        <w:rPr>
          <w:szCs w:val="24"/>
          <w:lang w:eastAsia="zh-CN"/>
        </w:rPr>
        <w:t>normal and SBFD slots/symbols</w:t>
      </w:r>
    </w:p>
    <w:p w14:paraId="4D69D56E" w14:textId="77777777" w:rsidR="00F01F2A" w:rsidRPr="00F01F2A" w:rsidRDefault="00F01F2A" w:rsidP="00F01F2A">
      <w:pPr>
        <w:numPr>
          <w:ilvl w:val="2"/>
          <w:numId w:val="19"/>
        </w:numPr>
        <w:overflowPunct/>
        <w:autoSpaceDE/>
        <w:autoSpaceDN/>
        <w:adjustRightInd/>
        <w:spacing w:after="120" w:line="259" w:lineRule="auto"/>
        <w:textAlignment w:val="auto"/>
        <w:rPr>
          <w:rFonts w:eastAsia="MS Mincho"/>
          <w:lang w:val="en-US"/>
        </w:rPr>
      </w:pPr>
      <w:r w:rsidRPr="00F01F2A">
        <w:rPr>
          <w:szCs w:val="24"/>
          <w:lang w:eastAsia="zh-CN"/>
        </w:rPr>
        <w:t xml:space="preserve">Vendors can declare different TX power values </w:t>
      </w:r>
      <w:r w:rsidRPr="00F01F2A">
        <w:rPr>
          <w:rFonts w:eastAsia="MS Mincho"/>
          <w:lang w:val="en-US"/>
        </w:rPr>
        <w:t xml:space="preserve">for </w:t>
      </w:r>
      <w:r w:rsidRPr="00F01F2A">
        <w:rPr>
          <w:szCs w:val="24"/>
          <w:lang w:eastAsia="zh-CN"/>
        </w:rPr>
        <w:t>normal and SBFD slots/symbols</w:t>
      </w:r>
    </w:p>
    <w:p w14:paraId="702DCE53" w14:textId="77777777" w:rsidR="00F01F2A" w:rsidRPr="00F01F2A" w:rsidRDefault="00F01F2A" w:rsidP="00F01F2A">
      <w:pPr>
        <w:overflowPunct/>
        <w:autoSpaceDE/>
        <w:autoSpaceDN/>
        <w:adjustRightInd/>
        <w:spacing w:after="120" w:line="259" w:lineRule="auto"/>
        <w:ind w:left="1656"/>
        <w:textAlignment w:val="auto"/>
        <w:rPr>
          <w:rFonts w:eastAsia="MS Mincho"/>
          <w:lang w:val="en-US"/>
        </w:rPr>
      </w:pPr>
    </w:p>
    <w:p w14:paraId="28513F8A" w14:textId="77777777" w:rsidR="00F01F2A" w:rsidRPr="00F01F2A" w:rsidRDefault="00F01F2A" w:rsidP="00F01F2A">
      <w:pPr>
        <w:keepNext/>
        <w:keepLines/>
        <w:spacing w:before="120"/>
        <w:outlineLvl w:val="3"/>
        <w:rPr>
          <w:rFonts w:ascii="Arial" w:eastAsia="Yu Mincho" w:hAnsi="Arial"/>
          <w:lang w:val="en-US" w:eastAsia="zh-CN"/>
        </w:rPr>
      </w:pPr>
      <w:r w:rsidRPr="00F01F2A">
        <w:rPr>
          <w:rFonts w:ascii="Arial" w:eastAsia="Yu Mincho" w:hAnsi="Arial"/>
          <w:lang w:val="en-US" w:eastAsia="zh-CN"/>
        </w:rPr>
        <w:t>Issue 2-2-1: TX intermodulation requirement</w:t>
      </w:r>
    </w:p>
    <w:p w14:paraId="4FFF4E80" w14:textId="77777777" w:rsidR="00F01F2A" w:rsidRPr="00F01F2A" w:rsidRDefault="00F01F2A" w:rsidP="00F01F2A">
      <w:pPr>
        <w:numPr>
          <w:ilvl w:val="0"/>
          <w:numId w:val="19"/>
        </w:numPr>
        <w:overflowPunct/>
        <w:autoSpaceDE/>
        <w:autoSpaceDN/>
        <w:adjustRightInd/>
        <w:spacing w:after="120" w:line="259" w:lineRule="auto"/>
        <w:textAlignment w:val="auto"/>
        <w:rPr>
          <w:rFonts w:eastAsia="MS Mincho"/>
          <w:highlight w:val="green"/>
          <w:lang w:val="en-US"/>
        </w:rPr>
      </w:pPr>
      <w:r w:rsidRPr="00F01F2A">
        <w:rPr>
          <w:rFonts w:eastAsia="MS Mincho"/>
          <w:highlight w:val="green"/>
          <w:lang w:val="en-US"/>
        </w:rPr>
        <w:t xml:space="preserve">Agreement: </w:t>
      </w:r>
    </w:p>
    <w:p w14:paraId="10735547" w14:textId="77777777" w:rsidR="00F01F2A" w:rsidRPr="00F01F2A" w:rsidRDefault="00F01F2A" w:rsidP="00F01F2A">
      <w:pPr>
        <w:numPr>
          <w:ilvl w:val="1"/>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The transmitter intermodulation requirement is applicable in SBFD slots/symbols: </w:t>
      </w:r>
    </w:p>
    <w:p w14:paraId="339B30ED" w14:textId="77777777" w:rsidR="00F01F2A" w:rsidRPr="00F01F2A" w:rsidRDefault="00F01F2A" w:rsidP="00F01F2A">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Follow the existing requirement </w:t>
      </w:r>
    </w:p>
    <w:p w14:paraId="63B0CD69" w14:textId="77777777" w:rsidR="00F01F2A" w:rsidRPr="00F01F2A" w:rsidRDefault="00F01F2A" w:rsidP="00F01F2A">
      <w:pPr>
        <w:numPr>
          <w:ilvl w:val="2"/>
          <w:numId w:val="19"/>
        </w:numPr>
        <w:overflowPunct/>
        <w:autoSpaceDE/>
        <w:autoSpaceDN/>
        <w:adjustRightInd/>
        <w:spacing w:after="120" w:line="259" w:lineRule="auto"/>
        <w:textAlignment w:val="auto"/>
        <w:rPr>
          <w:rFonts w:eastAsia="MS Mincho"/>
          <w:lang w:val="en-US"/>
        </w:rPr>
      </w:pPr>
      <w:r w:rsidRPr="00F01F2A">
        <w:rPr>
          <w:szCs w:val="24"/>
          <w:lang w:eastAsia="zh-CN"/>
        </w:rPr>
        <w:t>No receiver requirement is specified.</w:t>
      </w:r>
    </w:p>
    <w:p w14:paraId="10C522C5" w14:textId="77777777" w:rsidR="00F01F2A" w:rsidRPr="00F01F2A" w:rsidRDefault="00F01F2A" w:rsidP="00F01F2A">
      <w:pPr>
        <w:overflowPunct/>
        <w:autoSpaceDE/>
        <w:autoSpaceDN/>
        <w:adjustRightInd/>
        <w:spacing w:after="120" w:line="259" w:lineRule="auto"/>
        <w:ind w:left="2376"/>
        <w:textAlignment w:val="auto"/>
        <w:rPr>
          <w:rFonts w:eastAsia="MS Mincho"/>
          <w:lang w:val="en-US"/>
        </w:rPr>
      </w:pPr>
    </w:p>
    <w:p w14:paraId="75D38913" w14:textId="77777777" w:rsidR="00F01F2A" w:rsidRPr="00F01F2A" w:rsidRDefault="00F01F2A" w:rsidP="00F01F2A">
      <w:pPr>
        <w:keepNext/>
        <w:keepLines/>
        <w:spacing w:before="120"/>
        <w:outlineLvl w:val="3"/>
        <w:rPr>
          <w:rFonts w:ascii="Arial" w:eastAsia="Yu Mincho" w:hAnsi="Arial"/>
          <w:lang w:val="en-US" w:eastAsia="zh-CN"/>
        </w:rPr>
      </w:pPr>
      <w:r w:rsidRPr="00F01F2A">
        <w:rPr>
          <w:rFonts w:ascii="Arial" w:eastAsia="Yu Mincho" w:hAnsi="Arial"/>
          <w:lang w:val="en-US" w:eastAsia="zh-CN"/>
        </w:rPr>
        <w:t>Issue 2-3-1: The necessity of Co-location ACLR requirement</w:t>
      </w:r>
    </w:p>
    <w:p w14:paraId="4F3E8FDE" w14:textId="77777777" w:rsidR="00F01F2A" w:rsidRPr="00F01F2A" w:rsidRDefault="00F01F2A" w:rsidP="00F01F2A">
      <w:pPr>
        <w:numPr>
          <w:ilvl w:val="0"/>
          <w:numId w:val="19"/>
        </w:numPr>
        <w:overflowPunct/>
        <w:autoSpaceDE/>
        <w:autoSpaceDN/>
        <w:adjustRightInd/>
        <w:spacing w:after="120" w:line="259" w:lineRule="auto"/>
        <w:ind w:left="720"/>
        <w:textAlignment w:val="auto"/>
        <w:rPr>
          <w:rFonts w:eastAsia="MS Mincho"/>
          <w:highlight w:val="green"/>
          <w:lang w:val="en-US"/>
        </w:rPr>
      </w:pPr>
      <w:r w:rsidRPr="00F01F2A">
        <w:rPr>
          <w:rFonts w:eastAsia="MS Mincho"/>
          <w:highlight w:val="green"/>
          <w:lang w:val="en-US"/>
        </w:rPr>
        <w:t xml:space="preserve">Agreement: </w:t>
      </w:r>
    </w:p>
    <w:p w14:paraId="2E221C21" w14:textId="77777777" w:rsidR="00F01F2A" w:rsidRPr="00F01F2A" w:rsidRDefault="00F01F2A" w:rsidP="00F01F2A">
      <w:pPr>
        <w:numPr>
          <w:ilvl w:val="1"/>
          <w:numId w:val="19"/>
        </w:numPr>
        <w:overflowPunct/>
        <w:autoSpaceDE/>
        <w:autoSpaceDN/>
        <w:adjustRightInd/>
        <w:spacing w:after="120" w:line="259" w:lineRule="auto"/>
        <w:textAlignment w:val="auto"/>
        <w:rPr>
          <w:rFonts w:eastAsia="MS Mincho"/>
          <w:lang w:val="en-US"/>
        </w:rPr>
      </w:pPr>
      <w:r w:rsidRPr="00F01F2A">
        <w:rPr>
          <w:rFonts w:eastAsia="MS Mincho"/>
          <w:lang w:val="en-US"/>
        </w:rPr>
        <w:t>RAN4 further study the ACLR requirement by applying the existing ACLR requirement for SBFD-capable BS in SBFD symbols/slots</w:t>
      </w:r>
    </w:p>
    <w:p w14:paraId="6D9DE7B7" w14:textId="77777777" w:rsidR="00F01F2A" w:rsidRPr="00F01F2A" w:rsidRDefault="00F01F2A" w:rsidP="00F01F2A">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FFS the applicable deployment scenario where different ACLR requirement could be useful, whether it justify the different ACLR requirement.  </w:t>
      </w:r>
    </w:p>
    <w:p w14:paraId="5DCF4D7E" w14:textId="77777777" w:rsidR="00F01F2A" w:rsidRPr="00F01F2A" w:rsidRDefault="00F01F2A" w:rsidP="00F01F2A">
      <w:pPr>
        <w:overflowPunct/>
        <w:autoSpaceDE/>
        <w:autoSpaceDN/>
        <w:adjustRightInd/>
        <w:spacing w:after="120" w:line="259" w:lineRule="auto"/>
        <w:ind w:left="720"/>
        <w:textAlignment w:val="auto"/>
        <w:rPr>
          <w:szCs w:val="24"/>
          <w:lang w:val="en-US" w:eastAsia="zh-CN"/>
        </w:rPr>
      </w:pPr>
    </w:p>
    <w:p w14:paraId="74DCB7E8" w14:textId="77777777" w:rsidR="00F01F2A" w:rsidRPr="00F01F2A" w:rsidRDefault="00F01F2A" w:rsidP="00F01F2A">
      <w:pPr>
        <w:keepNext/>
        <w:keepLines/>
        <w:spacing w:before="120"/>
        <w:outlineLvl w:val="3"/>
        <w:rPr>
          <w:rFonts w:ascii="Arial" w:eastAsia="Yu Mincho" w:hAnsi="Arial"/>
          <w:lang w:val="en-US" w:eastAsia="zh-CN"/>
        </w:rPr>
      </w:pPr>
      <w:r w:rsidRPr="00F01F2A">
        <w:rPr>
          <w:rFonts w:ascii="Arial" w:eastAsia="Yu Mincho" w:hAnsi="Arial"/>
          <w:lang w:val="en-US" w:eastAsia="zh-CN"/>
        </w:rPr>
        <w:t>Issue 2-3-2: OBUE</w:t>
      </w:r>
    </w:p>
    <w:p w14:paraId="52883704" w14:textId="77777777" w:rsidR="00F01F2A" w:rsidRPr="00F01F2A" w:rsidRDefault="00F01F2A" w:rsidP="00F01F2A">
      <w:pPr>
        <w:numPr>
          <w:ilvl w:val="0"/>
          <w:numId w:val="19"/>
        </w:numPr>
        <w:overflowPunct/>
        <w:autoSpaceDE/>
        <w:autoSpaceDN/>
        <w:adjustRightInd/>
        <w:spacing w:after="120" w:line="259" w:lineRule="auto"/>
        <w:ind w:left="720"/>
        <w:textAlignment w:val="auto"/>
        <w:rPr>
          <w:rFonts w:eastAsia="MS Mincho"/>
          <w:highlight w:val="green"/>
          <w:lang w:val="en-US"/>
        </w:rPr>
      </w:pPr>
      <w:r w:rsidRPr="00F01F2A">
        <w:rPr>
          <w:rFonts w:eastAsia="MS Mincho"/>
          <w:highlight w:val="green"/>
          <w:lang w:val="en-US"/>
        </w:rPr>
        <w:t xml:space="preserve">Agreement: </w:t>
      </w:r>
    </w:p>
    <w:p w14:paraId="4EB3787B" w14:textId="77777777" w:rsidR="00F01F2A" w:rsidRPr="00F01F2A" w:rsidRDefault="00F01F2A" w:rsidP="00F01F2A">
      <w:pPr>
        <w:numPr>
          <w:ilvl w:val="1"/>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Further discuss how to define OBUE requirement for SBFD capable BS in order to ensure feasible co-existence performance for SBFD BSs operating in adjacent frequency.   </w:t>
      </w:r>
    </w:p>
    <w:p w14:paraId="4A866322" w14:textId="7761A20C" w:rsidR="00F01F2A" w:rsidRPr="00CB6BE8" w:rsidRDefault="00F01F2A" w:rsidP="00CB6BE8">
      <w:pPr>
        <w:keepNext/>
        <w:keepLines/>
        <w:numPr>
          <w:ilvl w:val="1"/>
          <w:numId w:val="0"/>
        </w:numPr>
        <w:overflowPunct/>
        <w:autoSpaceDE/>
        <w:autoSpaceDN/>
        <w:adjustRightInd/>
        <w:spacing w:before="180"/>
        <w:textAlignment w:val="auto"/>
        <w:outlineLvl w:val="1"/>
        <w:rPr>
          <w:rFonts w:ascii="Arial" w:eastAsia="Yu Mincho" w:hAnsi="Arial"/>
          <w:sz w:val="22"/>
          <w:szCs w:val="14"/>
          <w:lang w:val="en-US" w:eastAsia="zh-CN"/>
        </w:rPr>
      </w:pPr>
    </w:p>
    <w:p w14:paraId="199BA69C" w14:textId="2D334692" w:rsidR="00F01F2A" w:rsidRDefault="00F01F2A" w:rsidP="00F01F2A">
      <w:pPr>
        <w:spacing w:after="120" w:line="259" w:lineRule="auto"/>
        <w:rPr>
          <w:lang w:val="en-US"/>
        </w:rPr>
      </w:pPr>
      <w:r>
        <w:rPr>
          <w:lang w:val="en-US"/>
        </w:rPr>
        <w:t>The Way Forward also describes the necessity for additional co-existence study for in-band blocking:</w:t>
      </w:r>
    </w:p>
    <w:p w14:paraId="509DFFD2" w14:textId="77777777" w:rsidR="00F01F2A" w:rsidRPr="00F01F2A" w:rsidRDefault="00F01F2A" w:rsidP="00F01F2A">
      <w:pPr>
        <w:numPr>
          <w:ilvl w:val="0"/>
          <w:numId w:val="19"/>
        </w:numPr>
        <w:overflowPunct/>
        <w:autoSpaceDE/>
        <w:autoSpaceDN/>
        <w:adjustRightInd/>
        <w:spacing w:after="120" w:line="259" w:lineRule="auto"/>
        <w:ind w:left="720"/>
        <w:textAlignment w:val="auto"/>
        <w:rPr>
          <w:rFonts w:eastAsia="MS Mincho"/>
          <w:lang w:val="en-US"/>
        </w:rPr>
      </w:pPr>
      <w:r w:rsidRPr="00F01F2A">
        <w:rPr>
          <w:rFonts w:eastAsia="MS Mincho"/>
          <w:lang w:val="en-US"/>
        </w:rPr>
        <w:lastRenderedPageBreak/>
        <w:t xml:space="preserve">Way forward: </w:t>
      </w:r>
    </w:p>
    <w:p w14:paraId="586C0E27" w14:textId="77777777" w:rsidR="00F01F2A" w:rsidRPr="00F01F2A" w:rsidRDefault="00F01F2A" w:rsidP="00F01F2A">
      <w:pPr>
        <w:numPr>
          <w:ilvl w:val="1"/>
          <w:numId w:val="19"/>
        </w:numPr>
        <w:overflowPunct/>
        <w:autoSpaceDE/>
        <w:autoSpaceDN/>
        <w:adjustRightInd/>
        <w:spacing w:after="120" w:line="259" w:lineRule="auto"/>
        <w:textAlignment w:val="auto"/>
        <w:rPr>
          <w:rFonts w:eastAsia="MS Mincho"/>
          <w:strike/>
          <w:lang w:val="en-US"/>
        </w:rPr>
      </w:pPr>
      <w:r w:rsidRPr="00F01F2A">
        <w:rPr>
          <w:rFonts w:eastAsia="MS Mincho"/>
          <w:strike/>
          <w:lang w:val="en-US"/>
        </w:rPr>
        <w:t xml:space="preserve">The group will define the case/scenarios for additional co-existence, with the assumptions to be discussed in </w:t>
      </w:r>
      <w:proofErr w:type="gramStart"/>
      <w:r w:rsidRPr="00F01F2A">
        <w:rPr>
          <w:rFonts w:eastAsia="MS Mincho"/>
          <w:strike/>
          <w:lang w:val="en-US"/>
        </w:rPr>
        <w:t>details</w:t>
      </w:r>
      <w:proofErr w:type="gramEnd"/>
      <w:r w:rsidRPr="00F01F2A">
        <w:rPr>
          <w:rFonts w:eastAsia="MS Mincho"/>
          <w:strike/>
          <w:lang w:val="en-US"/>
        </w:rPr>
        <w:t xml:space="preserve">. </w:t>
      </w:r>
    </w:p>
    <w:p w14:paraId="4467D977" w14:textId="77777777" w:rsidR="00F01F2A" w:rsidRPr="00F01F2A" w:rsidRDefault="00F01F2A" w:rsidP="00F01F2A">
      <w:pPr>
        <w:numPr>
          <w:ilvl w:val="1"/>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Companies are encouraged to provide the </w:t>
      </w:r>
      <w:r w:rsidRPr="00F01F2A">
        <w:rPr>
          <w:rFonts w:hint="eastAsia"/>
          <w:lang w:val="en-US" w:eastAsia="zh-CN"/>
        </w:rPr>
        <w:t>evaluation</w:t>
      </w:r>
      <w:r w:rsidRPr="00F01F2A">
        <w:rPr>
          <w:rFonts w:eastAsia="MS Mincho"/>
          <w:lang w:val="en-US"/>
        </w:rPr>
        <w:t xml:space="preserve"> results for in-band blocking in the next meeting: </w:t>
      </w:r>
    </w:p>
    <w:p w14:paraId="5F0E8844" w14:textId="77777777" w:rsidR="00F01F2A" w:rsidRPr="00F01F2A" w:rsidRDefault="00F01F2A" w:rsidP="00F01F2A">
      <w:pPr>
        <w:numPr>
          <w:ilvl w:val="2"/>
          <w:numId w:val="19"/>
        </w:numPr>
        <w:overflowPunct/>
        <w:autoSpaceDE/>
        <w:autoSpaceDN/>
        <w:adjustRightInd/>
        <w:textAlignment w:val="auto"/>
        <w:rPr>
          <w:rFonts w:eastAsia="MS Mincho"/>
          <w:lang w:val="en-US"/>
        </w:rPr>
      </w:pPr>
      <w:r w:rsidRPr="00F01F2A">
        <w:rPr>
          <w:rFonts w:eastAsia="MS Mincho"/>
          <w:lang w:val="en-US"/>
        </w:rPr>
        <w:t>The scenarios to be studied are Scenario 1, 3, 5, 6, 9, defined in TR 38.858</w:t>
      </w:r>
    </w:p>
    <w:p w14:paraId="4B8E70F8" w14:textId="77777777" w:rsidR="00F01F2A" w:rsidRPr="00F01F2A" w:rsidRDefault="00F01F2A" w:rsidP="00F01F2A">
      <w:pPr>
        <w:numPr>
          <w:ilvl w:val="2"/>
          <w:numId w:val="19"/>
        </w:numPr>
        <w:overflowPunct/>
        <w:autoSpaceDE/>
        <w:autoSpaceDN/>
        <w:adjustRightInd/>
        <w:textAlignment w:val="auto"/>
        <w:rPr>
          <w:rFonts w:eastAsia="MS Mincho"/>
          <w:lang w:val="en-US"/>
        </w:rPr>
      </w:pPr>
      <w:r w:rsidRPr="00F01F2A">
        <w:rPr>
          <w:rFonts w:eastAsia="MS Mincho"/>
          <w:lang w:val="en-US"/>
        </w:rPr>
        <w:t>The case to be studied is Case 3 (TDD DL to SBFD UL subband).</w:t>
      </w:r>
    </w:p>
    <w:p w14:paraId="3290B2E3" w14:textId="77777777" w:rsidR="00F01F2A" w:rsidRPr="00F01F2A" w:rsidRDefault="00F01F2A" w:rsidP="00F01F2A">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FFS the power level which should be collected from the simulation results to derive in-band blocking levels: </w:t>
      </w:r>
    </w:p>
    <w:p w14:paraId="742B6B4E" w14:textId="77777777" w:rsidR="00F01F2A" w:rsidRPr="00F01F2A" w:rsidRDefault="00F01F2A" w:rsidP="00F01F2A">
      <w:pPr>
        <w:numPr>
          <w:ilvl w:val="3"/>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Option-1: absolute power level of interference from adjacent channel only, i.e., </w:t>
      </w:r>
      <w:r w:rsidRPr="00F01F2A">
        <w:rPr>
          <w:rFonts w:eastAsia="MS Mincho"/>
          <w:lang w:eastAsia="ja-JP"/>
        </w:rPr>
        <w:t>SBFD network internal interference should not be considered in the simulation, from the perspective of definition of in-band blocking requirement.</w:t>
      </w:r>
    </w:p>
    <w:p w14:paraId="40C07C0F" w14:textId="77777777" w:rsidR="00F01F2A" w:rsidRPr="00F01F2A" w:rsidRDefault="00F01F2A" w:rsidP="00F01F2A">
      <w:pPr>
        <w:numPr>
          <w:ilvl w:val="3"/>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Other options are not precluded. </w:t>
      </w:r>
    </w:p>
    <w:p w14:paraId="33641481" w14:textId="77777777" w:rsidR="00F01F2A" w:rsidRPr="00F01F2A" w:rsidRDefault="00F01F2A" w:rsidP="00F01F2A">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FFS the reference point for the power level which should be before or after RX beamforming. </w:t>
      </w:r>
    </w:p>
    <w:p w14:paraId="21737687" w14:textId="77777777" w:rsidR="00F01F2A" w:rsidRPr="00F01F2A" w:rsidRDefault="00F01F2A" w:rsidP="00F01F2A">
      <w:pPr>
        <w:numPr>
          <w:ilvl w:val="3"/>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Option-1: after RX subarray beamforming gain and before array gain, </w:t>
      </w:r>
      <w:proofErr w:type="spellStart"/>
      <w:r w:rsidRPr="00F01F2A">
        <w:rPr>
          <w:rFonts w:eastAsia="MS Mincho"/>
          <w:lang w:val="en-US"/>
        </w:rPr>
        <w:t>i.e</w:t>
      </w:r>
      <w:proofErr w:type="spellEnd"/>
      <w:r w:rsidRPr="00F01F2A">
        <w:rPr>
          <w:rFonts w:eastAsia="MS Mincho"/>
          <w:lang w:val="en-US"/>
        </w:rPr>
        <w:t>, at TAB.</w:t>
      </w:r>
    </w:p>
    <w:p w14:paraId="6596CE77" w14:textId="77777777" w:rsidR="00F01F2A" w:rsidRPr="00F01F2A" w:rsidRDefault="00F01F2A" w:rsidP="00F01F2A">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FFS </w:t>
      </w:r>
      <w:r w:rsidRPr="00F01F2A">
        <w:rPr>
          <w:rFonts w:eastAsia="MS Mincho"/>
          <w:lang w:eastAsia="ja-JP"/>
        </w:rPr>
        <w:t>different grid-shift values should be considered.</w:t>
      </w:r>
    </w:p>
    <w:p w14:paraId="657B98A0" w14:textId="77777777" w:rsidR="00F01F2A" w:rsidRPr="00F01F2A" w:rsidRDefault="00F01F2A" w:rsidP="00F01F2A">
      <w:pPr>
        <w:numPr>
          <w:ilvl w:val="3"/>
          <w:numId w:val="19"/>
        </w:numPr>
        <w:overflowPunct/>
        <w:autoSpaceDE/>
        <w:autoSpaceDN/>
        <w:adjustRightInd/>
        <w:spacing w:after="120" w:line="259" w:lineRule="auto"/>
        <w:textAlignment w:val="auto"/>
        <w:rPr>
          <w:rFonts w:eastAsia="MS Mincho"/>
          <w:lang w:val="en-US"/>
        </w:rPr>
      </w:pPr>
      <w:r w:rsidRPr="00F01F2A">
        <w:rPr>
          <w:rFonts w:eastAsia="MS Mincho"/>
          <w:lang w:val="en-US"/>
        </w:rPr>
        <w:t>Option-1:</w:t>
      </w:r>
      <w:r w:rsidRPr="00F01F2A">
        <w:rPr>
          <w:rFonts w:eastAsia="MS Mincho"/>
          <w:lang w:eastAsia="ja-JP"/>
        </w:rPr>
        <w:t xml:space="preserve"> 10%.</w:t>
      </w:r>
    </w:p>
    <w:p w14:paraId="519B1375" w14:textId="77777777" w:rsidR="00F01F2A" w:rsidRPr="00F01F2A" w:rsidRDefault="00F01F2A" w:rsidP="00F01F2A">
      <w:pPr>
        <w:numPr>
          <w:ilvl w:val="3"/>
          <w:numId w:val="19"/>
        </w:numPr>
        <w:overflowPunct/>
        <w:autoSpaceDE/>
        <w:autoSpaceDN/>
        <w:adjustRightInd/>
        <w:spacing w:after="120" w:line="259" w:lineRule="auto"/>
        <w:textAlignment w:val="auto"/>
        <w:rPr>
          <w:rFonts w:eastAsia="MS Mincho"/>
          <w:lang w:val="en-US"/>
        </w:rPr>
      </w:pPr>
      <w:r w:rsidRPr="00F01F2A">
        <w:rPr>
          <w:rFonts w:eastAsia="MS Mincho"/>
          <w:lang w:val="en-US"/>
        </w:rPr>
        <w:t>Option-2:</w:t>
      </w:r>
      <w:r w:rsidRPr="00F01F2A">
        <w:rPr>
          <w:rFonts w:eastAsia="MS Mincho"/>
          <w:lang w:eastAsia="ja-JP"/>
        </w:rPr>
        <w:t xml:space="preserve"> Other percentage values are not precluded.</w:t>
      </w:r>
    </w:p>
    <w:p w14:paraId="45464778" w14:textId="77777777" w:rsidR="00F01F2A" w:rsidRPr="00F01F2A" w:rsidRDefault="00F01F2A" w:rsidP="00F01F2A">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FFS how to use the power level probability distributions to derive the in-band blocking levels</w:t>
      </w:r>
    </w:p>
    <w:p w14:paraId="3430A9E0" w14:textId="77777777" w:rsidR="00F01F2A" w:rsidRPr="00F01F2A" w:rsidRDefault="00F01F2A" w:rsidP="00F01F2A">
      <w:pPr>
        <w:numPr>
          <w:ilvl w:val="3"/>
          <w:numId w:val="19"/>
        </w:numPr>
        <w:overflowPunct/>
        <w:autoSpaceDE/>
        <w:autoSpaceDN/>
        <w:adjustRightInd/>
        <w:spacing w:after="120" w:line="259" w:lineRule="auto"/>
        <w:textAlignment w:val="auto"/>
        <w:rPr>
          <w:rFonts w:eastAsia="MS Mincho"/>
          <w:lang w:eastAsia="ja-JP"/>
        </w:rPr>
      </w:pPr>
      <w:r w:rsidRPr="00F01F2A">
        <w:rPr>
          <w:rFonts w:eastAsia="MS Mincho"/>
          <w:lang w:val="en-US"/>
        </w:rPr>
        <w:t xml:space="preserve">Option-1: </w:t>
      </w:r>
      <w:r w:rsidRPr="00F01F2A">
        <w:rPr>
          <w:rFonts w:eastAsia="MS Mincho"/>
          <w:lang w:eastAsia="ja-JP"/>
        </w:rPr>
        <w:t>Find the X% tile of the UL SBFD wideband received power CDF to define the blocking requirement in each of the down-selected scenarios.</w:t>
      </w:r>
    </w:p>
    <w:p w14:paraId="49F1C3B3" w14:textId="77777777" w:rsidR="00F01F2A" w:rsidRPr="00F01F2A" w:rsidRDefault="00F01F2A" w:rsidP="00F01F2A">
      <w:pPr>
        <w:numPr>
          <w:ilvl w:val="4"/>
          <w:numId w:val="19"/>
        </w:numPr>
        <w:overflowPunct/>
        <w:autoSpaceDE/>
        <w:autoSpaceDN/>
        <w:adjustRightInd/>
        <w:spacing w:after="120" w:line="259" w:lineRule="auto"/>
        <w:textAlignment w:val="auto"/>
        <w:rPr>
          <w:rFonts w:eastAsia="MS Mincho"/>
          <w:lang w:eastAsia="ja-JP"/>
        </w:rPr>
      </w:pPr>
      <w:r w:rsidRPr="00F01F2A">
        <w:rPr>
          <w:rFonts w:eastAsia="MS Mincho"/>
          <w:lang w:eastAsia="ja-JP"/>
        </w:rPr>
        <w:t>FFS the value of X</w:t>
      </w:r>
    </w:p>
    <w:p w14:paraId="5AED9540" w14:textId="77777777" w:rsidR="00F01F2A" w:rsidRPr="00F01F2A" w:rsidRDefault="00F01F2A" w:rsidP="00F01F2A">
      <w:pPr>
        <w:numPr>
          <w:ilvl w:val="4"/>
          <w:numId w:val="19"/>
        </w:numPr>
        <w:overflowPunct/>
        <w:autoSpaceDE/>
        <w:autoSpaceDN/>
        <w:adjustRightInd/>
        <w:spacing w:after="120" w:line="259" w:lineRule="auto"/>
        <w:textAlignment w:val="auto"/>
        <w:rPr>
          <w:rFonts w:eastAsia="MS Mincho"/>
          <w:lang w:eastAsia="ja-JP"/>
        </w:rPr>
      </w:pPr>
      <w:r w:rsidRPr="00F01F2A">
        <w:rPr>
          <w:rFonts w:eastAsia="MS Mincho"/>
          <w:lang w:eastAsia="ja-JP"/>
        </w:rPr>
        <w:t xml:space="preserve">FFS the impact of CLI handling scheme introduced in RAN1. </w:t>
      </w:r>
    </w:p>
    <w:p w14:paraId="306670C4" w14:textId="77777777" w:rsidR="00F01F2A" w:rsidRPr="00F01F2A" w:rsidRDefault="00F01F2A" w:rsidP="00F01F2A">
      <w:pPr>
        <w:spacing w:after="120" w:line="259" w:lineRule="auto"/>
      </w:pPr>
    </w:p>
    <w:p w14:paraId="5B496804" w14:textId="13AD695F" w:rsidR="00A4385D" w:rsidRPr="00AF09BE" w:rsidRDefault="001A599C" w:rsidP="00AF09BE">
      <w:r>
        <w:t xml:space="preserve">This contribution </w:t>
      </w:r>
      <w:r w:rsidR="002C3049">
        <w:t>further elaborates</w:t>
      </w:r>
      <w:r>
        <w:t xml:space="preserve"> Nokia’s view</w:t>
      </w:r>
      <w:r w:rsidR="00FC09FA">
        <w:t>s</w:t>
      </w:r>
      <w:r>
        <w:t xml:space="preserve"> on the </w:t>
      </w:r>
      <w:r w:rsidR="002C3049">
        <w:t xml:space="preserve">existing </w:t>
      </w:r>
      <w:r w:rsidR="00FC09FA">
        <w:t xml:space="preserve">BS RF requirements </w:t>
      </w:r>
      <w:r w:rsidR="00761A14">
        <w:t>for SBFD operation at gNB</w:t>
      </w:r>
      <w:r>
        <w:t>.</w:t>
      </w:r>
      <w:bookmarkStart w:id="2" w:name="_Hlk510705081"/>
    </w:p>
    <w:p w14:paraId="2181CB3C" w14:textId="77777777" w:rsidR="000A368E" w:rsidRDefault="000A368E" w:rsidP="00D85F20">
      <w:pPr>
        <w:pStyle w:val="00BodyText"/>
      </w:pPr>
    </w:p>
    <w:p w14:paraId="1BFE0E4C" w14:textId="7C395888" w:rsidR="000A368E" w:rsidRPr="000A368E" w:rsidRDefault="0010060F" w:rsidP="000A368E">
      <w:pPr>
        <w:pStyle w:val="Heading1"/>
      </w:pPr>
      <w:r>
        <w:t>Impact on BS RX requirements</w:t>
      </w:r>
    </w:p>
    <w:p w14:paraId="40D0027C" w14:textId="77777777" w:rsidR="00B82887" w:rsidRDefault="00B82887" w:rsidP="00B82887">
      <w:pPr>
        <w:pStyle w:val="00BodyText"/>
      </w:pPr>
    </w:p>
    <w:p w14:paraId="400C2B08" w14:textId="1CD31734" w:rsidR="00B82887" w:rsidRDefault="00B82887" w:rsidP="00B82887">
      <w:pPr>
        <w:pStyle w:val="Heading2"/>
      </w:pPr>
      <w:r>
        <w:t xml:space="preserve">In-band blocking </w:t>
      </w:r>
      <w:r w:rsidR="00886EE1">
        <w:t>simulations</w:t>
      </w:r>
    </w:p>
    <w:p w14:paraId="111B2015" w14:textId="73E7416A" w:rsidR="00B82887" w:rsidRDefault="00B82887" w:rsidP="00037015">
      <w:pPr>
        <w:jc w:val="both"/>
      </w:pPr>
      <w:r>
        <w:t xml:space="preserve">In the previous RAN4#111 meeting, companies agreed to provide system-level simulation results to determine the in-band blocking SBFD BS requirements. Following the methodology and assumptions from the study item [2], Case 3 is assumed, i.e., the victim network uses SBFD </w:t>
      </w:r>
      <w:r w:rsidR="0036330A">
        <w:t>while</w:t>
      </w:r>
      <w:r>
        <w:t xml:space="preserve"> aggressor network in the adjacent channel uses TDD DL. The goal is to measure the in-band blocking power at the SBFD base stations. Note that, as also described in [2], the in-band blocking power is defined as a sum of wanted signal and all sources of interference signals as bellow:</w:t>
      </w:r>
    </w:p>
    <w:p w14:paraId="4C1CFF1C" w14:textId="5FD58498" w:rsidR="00B82887" w:rsidRPr="00B82887" w:rsidRDefault="00000000" w:rsidP="00037015">
      <m:oMathPara>
        <m:oMath>
          <m:sSub>
            <m:sSubPr>
              <m:ctrlPr>
                <w:rPr>
                  <w:rFonts w:ascii="Cambria Math" w:hAnsi="Cambria Math"/>
                  <w:i/>
                </w:rPr>
              </m:ctrlPr>
            </m:sSubPr>
            <m:e>
              <m:r>
                <w:rPr>
                  <w:rFonts w:ascii="Cambria Math" w:hAnsi="Cambria Math"/>
                </w:rPr>
                <m:t>P</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intra-SB, inter-UE</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inter-SB,inter-BS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ACI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self</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co-site,inter-sector</m:t>
              </m:r>
            </m:sub>
          </m:sSub>
          <m:r>
            <w:rPr>
              <w:rFonts w:ascii="Cambria Math" w:hAnsi="Cambria Math"/>
            </w:rPr>
            <m:t>,</m:t>
          </m:r>
        </m:oMath>
      </m:oMathPara>
    </w:p>
    <w:p w14:paraId="1EB0B609" w14:textId="2046C137" w:rsidR="00B33EB9" w:rsidRDefault="00B82887" w:rsidP="00037015">
      <w:pPr>
        <w:jc w:val="both"/>
      </w:pPr>
      <w:bookmarkStart w:id="3" w:name="OLE_LINK5"/>
      <w:bookmarkStart w:id="4" w:name="_Hlk118714984"/>
      <w:r>
        <w:t xml:space="preserve">where </w:t>
      </w:r>
      <m:oMath>
        <m:sSub>
          <m:sSubPr>
            <m:ctrlPr>
              <w:rPr>
                <w:rFonts w:ascii="Cambria Math" w:hAnsi="Cambria Math"/>
              </w:rPr>
            </m:ctrlPr>
          </m:sSubPr>
          <m:e>
            <m:r>
              <w:rPr>
                <w:rFonts w:ascii="Cambria Math" w:hAnsi="Cambria Math"/>
              </w:rPr>
              <m:t>P</m:t>
            </m:r>
          </m:e>
          <m:sub>
            <m:r>
              <w:rPr>
                <w:rFonts w:ascii="Cambria Math" w:hAnsi="Cambria Math"/>
              </w:rPr>
              <m:t>w</m:t>
            </m:r>
          </m:sub>
        </m:sSub>
      </m:oMath>
      <w:r>
        <w:t xml:space="preserve"> is the wanted signal from the scheduled UE, </w:t>
      </w:r>
      <m:oMath>
        <m:sSub>
          <m:sSubPr>
            <m:ctrlPr>
              <w:rPr>
                <w:rFonts w:ascii="Cambria Math" w:hAnsi="Cambria Math"/>
              </w:rPr>
            </m:ctrlPr>
          </m:sSubPr>
          <m:e>
            <m:r>
              <w:rPr>
                <w:rFonts w:ascii="Cambria Math" w:hAnsi="Cambria Math"/>
              </w:rPr>
              <m:t>I</m:t>
            </m:r>
          </m:e>
          <m:sub>
            <m:r>
              <w:rPr>
                <w:rFonts w:ascii="Cambria Math" w:hAnsi="Cambria Math"/>
              </w:rPr>
              <m:t>intra</m:t>
            </m:r>
            <m:r>
              <m:rPr>
                <m:sty m:val="p"/>
              </m:rPr>
              <w:rPr>
                <w:rFonts w:ascii="Cambria Math" w:hAnsi="Cambria Math"/>
              </w:rPr>
              <m:t>-</m:t>
            </m:r>
            <m:r>
              <w:rPr>
                <w:rFonts w:ascii="Cambria Math" w:hAnsi="Cambria Math"/>
              </w:rPr>
              <m:t>SB</m:t>
            </m:r>
            <m:r>
              <m:rPr>
                <m:sty m:val="p"/>
              </m:rPr>
              <w:rPr>
                <w:rFonts w:ascii="Cambria Math" w:hAnsi="Cambria Math"/>
              </w:rPr>
              <m:t xml:space="preserve">, </m:t>
            </m:r>
            <m:r>
              <w:rPr>
                <w:rFonts w:ascii="Cambria Math" w:hAnsi="Cambria Math"/>
              </w:rPr>
              <m:t>inter</m:t>
            </m:r>
            <m:r>
              <m:rPr>
                <m:sty m:val="p"/>
              </m:rPr>
              <w:rPr>
                <w:rFonts w:ascii="Cambria Math" w:hAnsi="Cambria Math"/>
              </w:rPr>
              <m:t>-</m:t>
            </m:r>
            <m:r>
              <w:rPr>
                <w:rFonts w:ascii="Cambria Math" w:hAnsi="Cambria Math"/>
              </w:rPr>
              <m:t>UE</m:t>
            </m:r>
          </m:sub>
        </m:sSub>
      </m:oMath>
      <w:r>
        <w:t xml:space="preserve"> is the inter-cell interference from other UEs scheduled in UL within the victim network, </w:t>
      </w:r>
      <m:oMath>
        <m:sSub>
          <m:sSubPr>
            <m:ctrlPr>
              <w:rPr>
                <w:rFonts w:ascii="Cambria Math" w:hAnsi="Cambria Math"/>
              </w:rPr>
            </m:ctrlPr>
          </m:sSubPr>
          <m:e>
            <m:r>
              <w:rPr>
                <w:rFonts w:ascii="Cambria Math" w:hAnsi="Cambria Math"/>
              </w:rPr>
              <m:t>I</m:t>
            </m:r>
          </m:e>
          <m:sub>
            <m:r>
              <w:rPr>
                <w:rFonts w:ascii="Cambria Math" w:hAnsi="Cambria Math"/>
              </w:rPr>
              <m:t>inter</m:t>
            </m:r>
            <m:r>
              <m:rPr>
                <m:sty m:val="p"/>
              </m:rPr>
              <w:rPr>
                <w:rFonts w:ascii="Cambria Math" w:hAnsi="Cambria Math"/>
              </w:rPr>
              <m:t>-</m:t>
            </m:r>
            <m:r>
              <w:rPr>
                <w:rFonts w:ascii="Cambria Math" w:hAnsi="Cambria Math"/>
              </w:rPr>
              <m:t>SB</m:t>
            </m:r>
            <m:r>
              <m:rPr>
                <m:sty m:val="p"/>
              </m:rPr>
              <w:rPr>
                <w:rFonts w:ascii="Cambria Math" w:hAnsi="Cambria Math"/>
              </w:rPr>
              <m:t>,</m:t>
            </m:r>
            <m:r>
              <w:rPr>
                <w:rFonts w:ascii="Cambria Math" w:hAnsi="Cambria Math"/>
              </w:rPr>
              <m:t>inter</m:t>
            </m:r>
            <m:r>
              <m:rPr>
                <m:sty m:val="p"/>
              </m:rPr>
              <w:rPr>
                <w:rFonts w:ascii="Cambria Math" w:hAnsi="Cambria Math"/>
              </w:rPr>
              <m:t>-</m:t>
            </m:r>
            <m:r>
              <w:rPr>
                <w:rFonts w:ascii="Cambria Math" w:hAnsi="Cambria Math"/>
              </w:rPr>
              <m:t>BS</m:t>
            </m:r>
          </m:sub>
        </m:sSub>
      </m:oMath>
      <w:r>
        <w:t xml:space="preserve"> is the BS-to-BS interference within the victim network, </w:t>
      </w:r>
      <m:oMath>
        <m:sSub>
          <m:sSubPr>
            <m:ctrlPr>
              <w:rPr>
                <w:rFonts w:ascii="Cambria Math" w:hAnsi="Cambria Math"/>
              </w:rPr>
            </m:ctrlPr>
          </m:sSubPr>
          <m:e>
            <m:r>
              <w:rPr>
                <w:rFonts w:ascii="Cambria Math" w:hAnsi="Cambria Math"/>
              </w:rPr>
              <m:t>I</m:t>
            </m:r>
          </m:e>
          <m:sub>
            <m:r>
              <w:rPr>
                <w:rFonts w:ascii="Cambria Math" w:hAnsi="Cambria Math"/>
              </w:rPr>
              <m:t>ACI</m:t>
            </m:r>
          </m:sub>
        </m:sSub>
      </m:oMath>
      <w:r w:rsidR="00D62286">
        <w:t xml:space="preserve"> is the adjacent channel interference from TDD BS transmitting on the DL channel within the aggressor network, </w:t>
      </w:r>
      <m:oMath>
        <m:sSub>
          <m:sSubPr>
            <m:ctrlPr>
              <w:rPr>
                <w:rFonts w:ascii="Cambria Math" w:hAnsi="Cambria Math"/>
              </w:rPr>
            </m:ctrlPr>
          </m:sSubPr>
          <m:e>
            <m:r>
              <w:rPr>
                <w:rFonts w:ascii="Cambria Math" w:hAnsi="Cambria Math"/>
              </w:rPr>
              <m:t>I</m:t>
            </m:r>
          </m:e>
          <m:sub>
            <m:r>
              <w:rPr>
                <w:rFonts w:ascii="Cambria Math" w:hAnsi="Cambria Math"/>
              </w:rPr>
              <m:t>self</m:t>
            </m:r>
          </m:sub>
        </m:sSub>
      </m:oMath>
      <w:r w:rsidR="00D62286">
        <w:t xml:space="preserve"> is the victim BS self-interference, and </w:t>
      </w:r>
      <m:oMath>
        <m:sSub>
          <m:sSubPr>
            <m:ctrlPr>
              <w:rPr>
                <w:rFonts w:ascii="Cambria Math" w:hAnsi="Cambria Math"/>
              </w:rPr>
            </m:ctrlPr>
          </m:sSubPr>
          <m:e>
            <m:r>
              <w:rPr>
                <w:rFonts w:ascii="Cambria Math" w:hAnsi="Cambria Math"/>
              </w:rPr>
              <m:t>I</m:t>
            </m:r>
          </m:e>
          <m:sub>
            <m:r>
              <w:rPr>
                <w:rFonts w:ascii="Cambria Math" w:hAnsi="Cambria Math"/>
              </w:rPr>
              <m:t>co</m:t>
            </m:r>
            <m:r>
              <m:rPr>
                <m:sty m:val="p"/>
              </m:rPr>
              <w:rPr>
                <w:rFonts w:ascii="Cambria Math" w:hAnsi="Cambria Math"/>
              </w:rPr>
              <m:t>-</m:t>
            </m:r>
            <m:r>
              <w:rPr>
                <w:rFonts w:ascii="Cambria Math" w:hAnsi="Cambria Math"/>
              </w:rPr>
              <m:t>site</m:t>
            </m:r>
            <m:r>
              <m:rPr>
                <m:sty m:val="p"/>
              </m:rPr>
              <w:rPr>
                <w:rFonts w:ascii="Cambria Math" w:hAnsi="Cambria Math"/>
              </w:rPr>
              <m:t>,</m:t>
            </m:r>
            <m:r>
              <w:rPr>
                <w:rFonts w:ascii="Cambria Math" w:hAnsi="Cambria Math"/>
              </w:rPr>
              <m:t>inter</m:t>
            </m:r>
            <m:r>
              <m:rPr>
                <m:sty m:val="p"/>
              </m:rPr>
              <w:rPr>
                <w:rFonts w:ascii="Cambria Math" w:hAnsi="Cambria Math"/>
              </w:rPr>
              <m:t>-</m:t>
            </m:r>
            <m:r>
              <w:rPr>
                <w:rFonts w:ascii="Cambria Math" w:hAnsi="Cambria Math"/>
              </w:rPr>
              <m:t>sector</m:t>
            </m:r>
          </m:sub>
        </m:sSub>
      </m:oMath>
      <w:r w:rsidR="00D62286">
        <w:t xml:space="preserve"> is the interference coming from the neighbour sectors in a 3-sector macro BS configuration.</w:t>
      </w:r>
      <w:r w:rsidR="00CB218A">
        <w:t xml:space="preserve"> </w:t>
      </w:r>
      <w:r w:rsidR="00854B0B">
        <w:t>It is important to highlight that the effect of ACLR and ACS are not accounted in the interference power calculation</w:t>
      </w:r>
      <w:r w:rsidR="007E7742">
        <w:t>.</w:t>
      </w:r>
      <w:r w:rsidR="007219DB">
        <w:t xml:space="preserve"> </w:t>
      </w:r>
    </w:p>
    <w:p w14:paraId="7110ED50" w14:textId="62112186" w:rsidR="007E7742" w:rsidRDefault="00363FEB" w:rsidP="00037015">
      <w:pPr>
        <w:pStyle w:val="Observation"/>
      </w:pPr>
      <w:r>
        <w:t>The</w:t>
      </w:r>
      <w:r w:rsidR="007F6526">
        <w:t xml:space="preserve"> </w:t>
      </w:r>
      <w:r w:rsidR="001526B7">
        <w:t xml:space="preserve">interference components </w:t>
      </w:r>
      <w:r w:rsidR="00C40570">
        <w:t>for the in-band blocking calculation do not account for the ACLR and ACS effects.</w:t>
      </w:r>
    </w:p>
    <w:p w14:paraId="220A1281" w14:textId="2E921BB6" w:rsidR="00364829" w:rsidRDefault="00C40570" w:rsidP="00037015">
      <w:pPr>
        <w:jc w:val="both"/>
        <w:rPr>
          <w:lang w:val="en-US"/>
        </w:rPr>
      </w:pPr>
      <w:r w:rsidRPr="009C5520">
        <w:rPr>
          <w:lang w:val="en-US"/>
        </w:rPr>
        <w:t xml:space="preserve">There is a first FFS in the WF about whether to include all the </w:t>
      </w:r>
      <w:r w:rsidR="00B50D80" w:rsidRPr="009C5520">
        <w:rPr>
          <w:lang w:val="en-US"/>
        </w:rPr>
        <w:t xml:space="preserve">signals components described in the equation above, or whether to only include the adjacent channel interference component, i.e., the interference generated from TDD DL BS towards SBFD BS in UL. </w:t>
      </w:r>
      <w:r w:rsidR="0079201C">
        <w:rPr>
          <w:lang w:val="en-US"/>
        </w:rPr>
        <w:t xml:space="preserve">This decision depends on the </w:t>
      </w:r>
      <w:r w:rsidR="00C31836" w:rsidRPr="009C5520">
        <w:rPr>
          <w:lang w:val="en-US"/>
        </w:rPr>
        <w:t>in-band blocking</w:t>
      </w:r>
      <w:r w:rsidR="003B788A" w:rsidRPr="009C5520">
        <w:rPr>
          <w:lang w:val="en-US"/>
        </w:rPr>
        <w:t xml:space="preserve"> </w:t>
      </w:r>
      <w:r w:rsidR="0079201C">
        <w:rPr>
          <w:lang w:val="en-US"/>
        </w:rPr>
        <w:t>requirement definition</w:t>
      </w:r>
      <w:r w:rsidR="00D61007">
        <w:rPr>
          <w:lang w:val="en-US"/>
        </w:rPr>
        <w:t xml:space="preserve">. </w:t>
      </w:r>
      <w:r w:rsidR="0079201C">
        <w:rPr>
          <w:lang w:val="en-US"/>
        </w:rPr>
        <w:t xml:space="preserve">As stated </w:t>
      </w:r>
      <w:r w:rsidR="00FE2D21" w:rsidRPr="009C5520">
        <w:rPr>
          <w:lang w:val="en-US"/>
        </w:rPr>
        <w:t>in TS 38.104</w:t>
      </w:r>
      <w:r w:rsidR="0079201C">
        <w:rPr>
          <w:lang w:val="en-US"/>
        </w:rPr>
        <w:t>, the current in-band blocking requirement</w:t>
      </w:r>
      <w:r w:rsidR="00FE2D21" w:rsidRPr="009C5520">
        <w:rPr>
          <w:lang w:val="en-US"/>
        </w:rPr>
        <w:t xml:space="preserve"> </w:t>
      </w:r>
      <w:r w:rsidR="003B788A" w:rsidRPr="009C5520">
        <w:rPr>
          <w:lang w:val="en-US"/>
        </w:rPr>
        <w:t>assume</w:t>
      </w:r>
      <w:r w:rsidR="00FE2D21">
        <w:rPr>
          <w:lang w:val="en-US"/>
        </w:rPr>
        <w:t>s</w:t>
      </w:r>
      <w:r w:rsidR="003B788A" w:rsidRPr="009C5520">
        <w:rPr>
          <w:lang w:val="en-US"/>
        </w:rPr>
        <w:t xml:space="preserve"> that the interfering signal is outside the base station RF bandwidth</w:t>
      </w:r>
      <w:r w:rsidR="00076E7C" w:rsidRPr="009C5520">
        <w:rPr>
          <w:lang w:val="en-US"/>
        </w:rPr>
        <w:t>.</w:t>
      </w:r>
      <w:r w:rsidR="00CB2990">
        <w:rPr>
          <w:lang w:val="en-US"/>
        </w:rPr>
        <w:t xml:space="preserve"> </w:t>
      </w:r>
      <w:r w:rsidR="0072118D">
        <w:rPr>
          <w:lang w:val="en-US"/>
        </w:rPr>
        <w:t>Thus, f</w:t>
      </w:r>
      <w:r w:rsidR="00962E3E">
        <w:rPr>
          <w:lang w:val="en-US"/>
        </w:rPr>
        <w:t xml:space="preserve">ollowing the same approach </w:t>
      </w:r>
      <w:r w:rsidR="0072118D">
        <w:rPr>
          <w:lang w:val="en-US"/>
        </w:rPr>
        <w:t xml:space="preserve">now </w:t>
      </w:r>
      <w:r w:rsidR="00962E3E">
        <w:rPr>
          <w:lang w:val="en-US"/>
        </w:rPr>
        <w:t xml:space="preserve">for SBFD, </w:t>
      </w:r>
      <w:r w:rsidR="00F94E52">
        <w:rPr>
          <w:lang w:val="en-US"/>
        </w:rPr>
        <w:t xml:space="preserve">it would mean that the SBFD-specific </w:t>
      </w:r>
      <w:r w:rsidR="006D26F1">
        <w:rPr>
          <w:lang w:val="en-US"/>
        </w:rPr>
        <w:t>interferences</w:t>
      </w:r>
      <w:r w:rsidR="007359A4">
        <w:rPr>
          <w:lang w:val="en-US"/>
        </w:rPr>
        <w:t xml:space="preserve"> such as BS self-interference or inter-sector interference are </w:t>
      </w:r>
      <w:r w:rsidR="006D26F1">
        <w:rPr>
          <w:lang w:val="en-US"/>
        </w:rPr>
        <w:t>le</w:t>
      </w:r>
      <w:r w:rsidR="00D135D2">
        <w:rPr>
          <w:lang w:val="en-US"/>
        </w:rPr>
        <w:t>ft</w:t>
      </w:r>
      <w:r w:rsidR="006D26F1">
        <w:rPr>
          <w:lang w:val="en-US"/>
        </w:rPr>
        <w:t xml:space="preserve"> out of the </w:t>
      </w:r>
      <w:r w:rsidR="00F75467">
        <w:rPr>
          <w:lang w:val="en-US"/>
        </w:rPr>
        <w:t>in-band blocking requirement. However, those interferences</w:t>
      </w:r>
      <w:r w:rsidR="0072118D">
        <w:rPr>
          <w:lang w:val="en-US"/>
        </w:rPr>
        <w:t xml:space="preserve"> also impact the receiver performance since they are also received </w:t>
      </w:r>
      <w:r w:rsidR="007644C3">
        <w:rPr>
          <w:lang w:val="en-US"/>
        </w:rPr>
        <w:t xml:space="preserve">by the </w:t>
      </w:r>
      <w:r w:rsidR="00B12528">
        <w:rPr>
          <w:lang w:val="en-US"/>
        </w:rPr>
        <w:t>BS LN</w:t>
      </w:r>
      <w:r w:rsidR="00EC5813">
        <w:rPr>
          <w:lang w:val="en-US"/>
        </w:rPr>
        <w:t xml:space="preserve">A. </w:t>
      </w:r>
      <w:r w:rsidR="004D5464">
        <w:rPr>
          <w:lang w:val="en-US"/>
        </w:rPr>
        <w:t>The outcome of the discussion would depend on whether</w:t>
      </w:r>
      <w:r w:rsidR="00D01C7E">
        <w:rPr>
          <w:lang w:val="en-US"/>
        </w:rPr>
        <w:t xml:space="preserve"> </w:t>
      </w:r>
      <w:r w:rsidR="003D30B2">
        <w:rPr>
          <w:lang w:val="en-US"/>
        </w:rPr>
        <w:t xml:space="preserve">the </w:t>
      </w:r>
      <w:r w:rsidR="00D01C7E">
        <w:rPr>
          <w:lang w:val="en-US"/>
        </w:rPr>
        <w:t xml:space="preserve">previous </w:t>
      </w:r>
      <w:r w:rsidR="00311F72">
        <w:rPr>
          <w:lang w:val="en-US"/>
        </w:rPr>
        <w:t>definition</w:t>
      </w:r>
      <w:r w:rsidR="003D30B2">
        <w:rPr>
          <w:lang w:val="en-US"/>
        </w:rPr>
        <w:t xml:space="preserve"> of the </w:t>
      </w:r>
      <w:r w:rsidR="00D01C7E">
        <w:rPr>
          <w:lang w:val="en-US"/>
        </w:rPr>
        <w:t xml:space="preserve">RAN4 </w:t>
      </w:r>
      <w:r w:rsidR="003D30B2">
        <w:rPr>
          <w:lang w:val="en-US"/>
        </w:rPr>
        <w:t xml:space="preserve">in-band blocking requirement </w:t>
      </w:r>
      <w:r w:rsidR="00D01C7E">
        <w:rPr>
          <w:lang w:val="en-US"/>
        </w:rPr>
        <w:t xml:space="preserve">is updated </w:t>
      </w:r>
      <w:r w:rsidR="003D30B2">
        <w:rPr>
          <w:lang w:val="en-US"/>
        </w:rPr>
        <w:t xml:space="preserve">to accommodate the SBFD co-channel interferences or not. In any case, </w:t>
      </w:r>
      <w:r w:rsidR="00C23AA3">
        <w:rPr>
          <w:lang w:val="en-US"/>
        </w:rPr>
        <w:t>RAN4 should include a clear statement on how the in-band blocking requirements for SBFD BS are derived</w:t>
      </w:r>
      <w:r w:rsidR="00311F72">
        <w:rPr>
          <w:lang w:val="en-US"/>
        </w:rPr>
        <w:t xml:space="preserve"> </w:t>
      </w:r>
      <w:proofErr w:type="gramStart"/>
      <w:r w:rsidR="00311F72">
        <w:rPr>
          <w:lang w:val="en-US"/>
        </w:rPr>
        <w:t>in order to</w:t>
      </w:r>
      <w:proofErr w:type="gramEnd"/>
      <w:r w:rsidR="00311F72">
        <w:rPr>
          <w:lang w:val="en-US"/>
        </w:rPr>
        <w:t xml:space="preserve"> avoid </w:t>
      </w:r>
      <w:r w:rsidR="000359F6">
        <w:rPr>
          <w:lang w:val="en-US"/>
        </w:rPr>
        <w:t>possible misunderstandings</w:t>
      </w:r>
      <w:r w:rsidR="00311F72">
        <w:rPr>
          <w:lang w:val="en-US"/>
        </w:rPr>
        <w:t>.</w:t>
      </w:r>
      <w:r w:rsidR="00C23AA3">
        <w:rPr>
          <w:lang w:val="en-US"/>
        </w:rPr>
        <w:t xml:space="preserve"> </w:t>
      </w:r>
    </w:p>
    <w:p w14:paraId="4AB0DDF1" w14:textId="77777777" w:rsidR="00DE7624" w:rsidRDefault="005D5F6B" w:rsidP="004D63B7">
      <w:pPr>
        <w:pStyle w:val="Observation"/>
      </w:pPr>
      <w:r>
        <w:t>Current</w:t>
      </w:r>
      <w:r w:rsidR="001B30CA">
        <w:t xml:space="preserve"> BS RF</w:t>
      </w:r>
      <w:r>
        <w:t xml:space="preserve"> in-band blocking </w:t>
      </w:r>
      <w:r w:rsidR="001B30CA">
        <w:t xml:space="preserve">requirements </w:t>
      </w:r>
      <w:r>
        <w:t xml:space="preserve">only consider </w:t>
      </w:r>
      <w:r w:rsidR="00B64632">
        <w:t>adjacent channel interference</w:t>
      </w:r>
      <w:r w:rsidR="00E32553">
        <w:t xml:space="preserve">. </w:t>
      </w:r>
    </w:p>
    <w:p w14:paraId="5FC67B1D" w14:textId="0C5C329C" w:rsidR="0092597F" w:rsidRDefault="00D16918" w:rsidP="004D63B7">
      <w:pPr>
        <w:pStyle w:val="Observation"/>
      </w:pPr>
      <w:r>
        <w:t xml:space="preserve">Whether or not to include the SBFD co-channel interference </w:t>
      </w:r>
      <w:r w:rsidR="00D832B5">
        <w:t xml:space="preserve">as part of </w:t>
      </w:r>
      <w:r>
        <w:t xml:space="preserve">the in-band blocking </w:t>
      </w:r>
      <w:r w:rsidR="00C55E6D">
        <w:t xml:space="preserve">derivation depend </w:t>
      </w:r>
      <w:r w:rsidR="00E44008">
        <w:t xml:space="preserve">on </w:t>
      </w:r>
      <w:r w:rsidR="005D2BD8">
        <w:t>whether current definition of the RAN4 in-band blocking requirement is updated or not</w:t>
      </w:r>
      <w:r w:rsidR="00A976B3">
        <w:t>.</w:t>
      </w:r>
    </w:p>
    <w:p w14:paraId="68A62EDC" w14:textId="5CE203E7" w:rsidR="00E44008" w:rsidRDefault="007D5603" w:rsidP="00037015">
      <w:pPr>
        <w:pStyle w:val="Proposal"/>
      </w:pPr>
      <w:r w:rsidRPr="007D5603">
        <w:t xml:space="preserve">RAN4 should include a clear statement on how the in-band blocking requirements for SBFD BS are derived </w:t>
      </w:r>
      <w:proofErr w:type="gramStart"/>
      <w:r w:rsidRPr="007D5603">
        <w:t>in order to</w:t>
      </w:r>
      <w:proofErr w:type="gramEnd"/>
      <w:r w:rsidRPr="007D5603">
        <w:t xml:space="preserve"> avoid possible misunderstandings.</w:t>
      </w:r>
    </w:p>
    <w:p w14:paraId="4581F2F3" w14:textId="6AC437B8" w:rsidR="00F04A75" w:rsidRPr="00037015" w:rsidRDefault="00EC74AA" w:rsidP="00F04A75">
      <w:pPr>
        <w:pStyle w:val="Proposal"/>
      </w:pPr>
      <w:r w:rsidRPr="00037015">
        <w:t>Consider only the adjacent channel interference</w:t>
      </w:r>
      <w:r w:rsidR="001B7942" w:rsidRPr="00037015">
        <w:t xml:space="preserve"> power</w:t>
      </w:r>
      <w:r w:rsidRPr="00037015">
        <w:t xml:space="preserve"> </w:t>
      </w:r>
      <w:r w:rsidR="006907E0" w:rsidRPr="00037015">
        <w:t>to de</w:t>
      </w:r>
      <w:r w:rsidR="004701EF" w:rsidRPr="00037015">
        <w:t>termine</w:t>
      </w:r>
      <w:r w:rsidR="006907E0" w:rsidRPr="00037015">
        <w:t xml:space="preserve"> the in-band blocking </w:t>
      </w:r>
      <w:r w:rsidR="004701EF" w:rsidRPr="00037015">
        <w:t>power</w:t>
      </w:r>
      <w:r w:rsidR="006907E0" w:rsidRPr="00037015">
        <w:t>.</w:t>
      </w:r>
    </w:p>
    <w:p w14:paraId="6DB69B3A" w14:textId="2C8271C4" w:rsidR="00D11A2C" w:rsidRPr="00037015" w:rsidRDefault="00B66656" w:rsidP="00037015">
      <w:pPr>
        <w:jc w:val="both"/>
        <w:rPr>
          <w:lang w:val="en-US"/>
        </w:rPr>
      </w:pPr>
      <w:r w:rsidRPr="00037015">
        <w:rPr>
          <w:lang w:val="en-US"/>
        </w:rPr>
        <w:t xml:space="preserve">Furthermore, we should also decide which </w:t>
      </w:r>
      <w:r w:rsidR="00477D39" w:rsidRPr="00037015">
        <w:rPr>
          <w:lang w:val="en-US"/>
        </w:rPr>
        <w:t xml:space="preserve">grid-shift should be </w:t>
      </w:r>
      <w:r w:rsidR="00C550EE" w:rsidRPr="00037015">
        <w:rPr>
          <w:lang w:val="en-US"/>
        </w:rPr>
        <w:t>assumed. In our view, the grid shift of 10% would provide the worst-case in terms of adjacent channel interference and therefore we prefer to limit the scope of the simulations to this grid shift value.</w:t>
      </w:r>
      <w:r w:rsidR="002778F9" w:rsidRPr="00FC460D">
        <w:rPr>
          <w:lang w:val="en-US"/>
        </w:rPr>
        <w:t xml:space="preserve"> </w:t>
      </w:r>
      <w:r w:rsidR="00C95679" w:rsidRPr="00FC460D">
        <w:rPr>
          <w:lang w:val="en-US"/>
        </w:rPr>
        <w:t>In the spirit of reducing the scope the results,</w:t>
      </w:r>
      <w:r w:rsidR="00FD62FB" w:rsidRPr="00FC460D">
        <w:rPr>
          <w:lang w:val="en-US"/>
        </w:rPr>
        <w:t xml:space="preserve"> we also propose </w:t>
      </w:r>
      <w:r w:rsidR="0084683F" w:rsidRPr="00FC460D">
        <w:rPr>
          <w:lang w:val="en-US"/>
        </w:rPr>
        <w:t>to</w:t>
      </w:r>
      <w:r w:rsidR="00D11A2C" w:rsidRPr="00037015">
        <w:rPr>
          <w:lang w:val="en-US"/>
        </w:rPr>
        <w:t xml:space="preserve"> only </w:t>
      </w:r>
      <w:r w:rsidR="00D25021" w:rsidRPr="00037015">
        <w:rPr>
          <w:lang w:val="en-US"/>
        </w:rPr>
        <w:t>simulate</w:t>
      </w:r>
      <w:r w:rsidR="00D11A2C" w:rsidRPr="00037015">
        <w:rPr>
          <w:lang w:val="en-US"/>
        </w:rPr>
        <w:t xml:space="preserve"> 1 SBFD antenna configuration, when applicable</w:t>
      </w:r>
      <w:r w:rsidR="00D25021" w:rsidRPr="00037015">
        <w:rPr>
          <w:lang w:val="en-US"/>
        </w:rPr>
        <w:t>.</w:t>
      </w:r>
      <w:r w:rsidR="00FC1940" w:rsidRPr="00037015">
        <w:rPr>
          <w:lang w:val="en-US"/>
        </w:rPr>
        <w:t xml:space="preserve"> W</w:t>
      </w:r>
      <w:r w:rsidR="00D25021" w:rsidRPr="00037015">
        <w:rPr>
          <w:lang w:val="en-US"/>
        </w:rPr>
        <w:t>e expect simulation results to be same regardless of whether Antenna Config.1 or Antenna Config.2 is assumed</w:t>
      </w:r>
      <w:r w:rsidR="00AF4817" w:rsidRPr="00037015">
        <w:rPr>
          <w:lang w:val="en-US"/>
        </w:rPr>
        <w:t xml:space="preserve">. The reason is that </w:t>
      </w:r>
      <w:r w:rsidR="00FC1940" w:rsidRPr="00037015">
        <w:rPr>
          <w:lang w:val="en-US"/>
        </w:rPr>
        <w:t>t</w:t>
      </w:r>
      <w:r w:rsidR="00D11A2C" w:rsidRPr="00037015">
        <w:rPr>
          <w:lang w:val="en-US"/>
        </w:rPr>
        <w:t>he Rx beamforming gain is not considered in the coupling-loss calculation (as indicated in the WF)</w:t>
      </w:r>
      <w:r w:rsidR="00AF4817" w:rsidRPr="00037015">
        <w:rPr>
          <w:lang w:val="en-US"/>
        </w:rPr>
        <w:t xml:space="preserve">, and therefore, the effect of having </w:t>
      </w:r>
      <w:r w:rsidR="000F34A6" w:rsidRPr="00037015">
        <w:rPr>
          <w:lang w:val="en-US"/>
        </w:rPr>
        <w:t xml:space="preserve">a different number of elements on the </w:t>
      </w:r>
      <w:r w:rsidR="005C5B81" w:rsidRPr="00037015">
        <w:rPr>
          <w:lang w:val="en-US"/>
        </w:rPr>
        <w:t>SBFD BS panel should not affect.</w:t>
      </w:r>
      <w:r w:rsidR="00FC460D">
        <w:rPr>
          <w:lang w:val="en-US"/>
        </w:rPr>
        <w:t xml:space="preserve"> For the TDD BS transmit power, we suggest </w:t>
      </w:r>
      <w:r w:rsidR="00135378">
        <w:rPr>
          <w:lang w:val="en-US"/>
        </w:rPr>
        <w:t>to</w:t>
      </w:r>
      <w:r w:rsidR="008555E0">
        <w:rPr>
          <w:lang w:val="en-US"/>
        </w:rPr>
        <w:t xml:space="preserve"> only simulate </w:t>
      </w:r>
      <w:r w:rsidR="003740AC">
        <w:rPr>
          <w:lang w:val="en-US"/>
        </w:rPr>
        <w:t xml:space="preserve">those indicated as </w:t>
      </w:r>
      <w:r w:rsidR="008555E0">
        <w:rPr>
          <w:lang w:val="en-US"/>
        </w:rPr>
        <w:t>baseline (or 1</w:t>
      </w:r>
      <w:r w:rsidR="008555E0" w:rsidRPr="00037015">
        <w:rPr>
          <w:vertAlign w:val="superscript"/>
          <w:lang w:val="en-US"/>
        </w:rPr>
        <w:t>st</w:t>
      </w:r>
      <w:r w:rsidR="008555E0">
        <w:rPr>
          <w:lang w:val="en-US"/>
        </w:rPr>
        <w:t xml:space="preserve"> priority) assumptions</w:t>
      </w:r>
      <w:r w:rsidR="003740AC">
        <w:rPr>
          <w:lang w:val="en-US"/>
        </w:rPr>
        <w:t xml:space="preserve"> in the Annex E of TR 38.858.</w:t>
      </w:r>
    </w:p>
    <w:p w14:paraId="1293EAE3" w14:textId="57680F81" w:rsidR="00C550EE" w:rsidRDefault="00AF2021" w:rsidP="00C550EE">
      <w:pPr>
        <w:pStyle w:val="Proposal"/>
      </w:pPr>
      <w:r>
        <w:t xml:space="preserve">To reduce the scope of the simulations, </w:t>
      </w:r>
      <w:r w:rsidR="00FD0635">
        <w:t>10% grid-shift</w:t>
      </w:r>
      <w:r>
        <w:t xml:space="preserve"> is the only considered grid-shift value.</w:t>
      </w:r>
    </w:p>
    <w:p w14:paraId="1F1DF1E1" w14:textId="34346317" w:rsidR="008555E0" w:rsidRPr="008555E0" w:rsidRDefault="009B06F5" w:rsidP="00037015">
      <w:pPr>
        <w:pStyle w:val="Proposal"/>
      </w:pPr>
      <w:r>
        <w:t>To reduce the scope of the simulations, c</w:t>
      </w:r>
      <w:r w:rsidR="008555E0">
        <w:t xml:space="preserve">onsider only </w:t>
      </w:r>
      <w:r w:rsidR="00B564CC">
        <w:t xml:space="preserve">SBFD </w:t>
      </w:r>
      <w:r w:rsidR="0085073E">
        <w:t xml:space="preserve">antenna configurations </w:t>
      </w:r>
      <w:r w:rsidR="008555E0">
        <w:t>and TDD BS transmit power defined as baseline or 1</w:t>
      </w:r>
      <w:r w:rsidR="008555E0" w:rsidRPr="00037015">
        <w:rPr>
          <w:vertAlign w:val="superscript"/>
        </w:rPr>
        <w:t>st</w:t>
      </w:r>
      <w:r w:rsidR="008555E0">
        <w:t xml:space="preserve"> priority </w:t>
      </w:r>
      <w:r w:rsidR="00D65C9C">
        <w:t>according to</w:t>
      </w:r>
      <w:r w:rsidR="008555E0">
        <w:t xml:space="preserve"> TR 38.858 Annex E.</w:t>
      </w:r>
    </w:p>
    <w:p w14:paraId="77E9D608" w14:textId="3A78FC5F" w:rsidR="00C95679" w:rsidRDefault="00A201A2" w:rsidP="00037015">
      <w:pPr>
        <w:jc w:val="both"/>
        <w:rPr>
          <w:lang w:val="en-US"/>
        </w:rPr>
      </w:pPr>
      <w:r>
        <w:rPr>
          <w:lang w:val="en-US"/>
        </w:rPr>
        <w:t>C</w:t>
      </w:r>
      <w:r w:rsidR="00382DBE" w:rsidRPr="00037015">
        <w:rPr>
          <w:lang w:val="en-US"/>
        </w:rPr>
        <w:t xml:space="preserve">ompanies should </w:t>
      </w:r>
      <w:r>
        <w:rPr>
          <w:lang w:val="en-US"/>
        </w:rPr>
        <w:t xml:space="preserve">also </w:t>
      </w:r>
      <w:r w:rsidR="00382DBE" w:rsidRPr="00037015">
        <w:rPr>
          <w:lang w:val="en-US"/>
        </w:rPr>
        <w:t xml:space="preserve">agree on </w:t>
      </w:r>
      <w:r w:rsidR="001A7D52" w:rsidRPr="00037015">
        <w:rPr>
          <w:lang w:val="en-US"/>
        </w:rPr>
        <w:t xml:space="preserve">which </w:t>
      </w:r>
      <w:r w:rsidR="00D11112">
        <w:rPr>
          <w:lang w:val="en-US"/>
        </w:rPr>
        <w:t>probability level</w:t>
      </w:r>
      <w:r w:rsidR="003F44B5">
        <w:rPr>
          <w:lang w:val="en-US"/>
        </w:rPr>
        <w:t xml:space="preserve"> </w:t>
      </w:r>
      <w:r w:rsidR="001A7D52" w:rsidRPr="00037015">
        <w:rPr>
          <w:lang w:val="en-US"/>
        </w:rPr>
        <w:t xml:space="preserve">of the in-band blocking power </w:t>
      </w:r>
      <w:r w:rsidR="003F44B5">
        <w:rPr>
          <w:lang w:val="en-US"/>
        </w:rPr>
        <w:t xml:space="preserve">CDF </w:t>
      </w:r>
      <w:r w:rsidR="001A7D52" w:rsidRPr="00037015">
        <w:rPr>
          <w:lang w:val="en-US"/>
        </w:rPr>
        <w:t>should be considered to derive the RF requirements.</w:t>
      </w:r>
      <w:r w:rsidR="00757AC3">
        <w:rPr>
          <w:lang w:val="en-US"/>
        </w:rPr>
        <w:t xml:space="preserve"> </w:t>
      </w:r>
      <w:r w:rsidR="00855DF3">
        <w:rPr>
          <w:lang w:val="en-US"/>
        </w:rPr>
        <w:t xml:space="preserve">TR 25.942 describes the methodology used to derive the current RAN4 BS RF in-band blocking requirements. There, the in-band blocking power was derived using the </w:t>
      </w:r>
      <w:r w:rsidR="00D211CF">
        <w:rPr>
          <w:lang w:val="en-US"/>
        </w:rPr>
        <w:t>99.9</w:t>
      </w:r>
      <w:r w:rsidR="00D211CF" w:rsidRPr="00037015">
        <w:rPr>
          <w:vertAlign w:val="superscript"/>
          <w:lang w:val="en-US"/>
        </w:rPr>
        <w:t>th</w:t>
      </w:r>
      <w:r w:rsidR="00D211CF">
        <w:rPr>
          <w:lang w:val="en-US"/>
        </w:rPr>
        <w:t xml:space="preserve"> percentil</w:t>
      </w:r>
      <w:r w:rsidR="00354D29">
        <w:rPr>
          <w:lang w:val="en-US"/>
        </w:rPr>
        <w:t xml:space="preserve">e. </w:t>
      </w:r>
      <w:r w:rsidR="0017676A">
        <w:rPr>
          <w:lang w:val="en-US"/>
        </w:rPr>
        <w:t>In a similar manner, we propose to use the 99</w:t>
      </w:r>
      <w:r w:rsidR="0017676A" w:rsidRPr="00037015">
        <w:rPr>
          <w:vertAlign w:val="superscript"/>
          <w:lang w:val="en-US"/>
        </w:rPr>
        <w:t>th</w:t>
      </w:r>
      <w:r w:rsidR="0017676A">
        <w:rPr>
          <w:lang w:val="en-US"/>
        </w:rPr>
        <w:t xml:space="preserve"> percentile </w:t>
      </w:r>
      <w:r w:rsidR="00CC264F">
        <w:rPr>
          <w:lang w:val="en-US"/>
        </w:rPr>
        <w:t xml:space="preserve">of the in-band blocking power CDF. </w:t>
      </w:r>
      <w:r w:rsidR="00766863">
        <w:rPr>
          <w:lang w:val="en-US"/>
        </w:rPr>
        <w:t>To ease the collection of results, w</w:t>
      </w:r>
      <w:r w:rsidR="001564C5">
        <w:rPr>
          <w:lang w:val="en-US"/>
        </w:rPr>
        <w:t xml:space="preserve">e </w:t>
      </w:r>
      <w:r>
        <w:rPr>
          <w:lang w:val="en-US"/>
        </w:rPr>
        <w:t>propose</w:t>
      </w:r>
      <w:r w:rsidR="00726A7F">
        <w:rPr>
          <w:lang w:val="en-US"/>
        </w:rPr>
        <w:t xml:space="preserve"> as well to re-use the excel spreadsheet template from the calibration </w:t>
      </w:r>
      <w:r>
        <w:rPr>
          <w:lang w:val="en-US"/>
        </w:rPr>
        <w:t>of coexistence simulations during the SI.</w:t>
      </w:r>
    </w:p>
    <w:p w14:paraId="413DCB90" w14:textId="3877A98D" w:rsidR="00A201A2" w:rsidRDefault="00F9277B" w:rsidP="007A50CD">
      <w:pPr>
        <w:pStyle w:val="Proposal"/>
      </w:pPr>
      <w:r>
        <w:t>Use</w:t>
      </w:r>
      <w:r w:rsidR="00FA45F3">
        <w:t xml:space="preserve"> </w:t>
      </w:r>
      <w:r w:rsidR="003B5404">
        <w:t>the 99</w:t>
      </w:r>
      <w:r w:rsidR="003B5404" w:rsidRPr="00037015">
        <w:rPr>
          <w:vertAlign w:val="superscript"/>
        </w:rPr>
        <w:t>th</w:t>
      </w:r>
      <w:r w:rsidR="003B5404">
        <w:t xml:space="preserve"> percentile of the in-band blocking power CDF </w:t>
      </w:r>
      <w:r w:rsidR="004201E2">
        <w:t xml:space="preserve">(X = 99) </w:t>
      </w:r>
      <w:r w:rsidR="003B5404">
        <w:t>to derive the BS RF requirements.</w:t>
      </w:r>
    </w:p>
    <w:p w14:paraId="3D0266D2" w14:textId="61958BAD" w:rsidR="002D6537" w:rsidRPr="002D6537" w:rsidRDefault="002D6537" w:rsidP="00037015">
      <w:pPr>
        <w:pStyle w:val="Proposal"/>
      </w:pPr>
      <w:r>
        <w:t>Re-use the excel spreadsheet from</w:t>
      </w:r>
      <w:r w:rsidR="003A6DB8">
        <w:t xml:space="preserve"> simulator </w:t>
      </w:r>
      <w:r>
        <w:t xml:space="preserve">calibration </w:t>
      </w:r>
      <w:r w:rsidR="003A6DB8">
        <w:t xml:space="preserve">during the study item to collect the </w:t>
      </w:r>
      <w:r w:rsidR="006C23CA">
        <w:t>in-band blocking power results from different companies.</w:t>
      </w:r>
    </w:p>
    <w:p w14:paraId="034E45A7" w14:textId="53F4632B" w:rsidR="00A201A2" w:rsidRDefault="00A201A2" w:rsidP="00037015">
      <w:pPr>
        <w:jc w:val="both"/>
        <w:rPr>
          <w:lang w:val="en-US"/>
        </w:rPr>
      </w:pPr>
      <w:r>
        <w:rPr>
          <w:lang w:val="en-US"/>
        </w:rPr>
        <w:t>Lastly,</w:t>
      </w:r>
      <w:r w:rsidR="00815C1F">
        <w:rPr>
          <w:lang w:val="en-US"/>
        </w:rPr>
        <w:t xml:space="preserve"> there is an FFS on whether to include the effect of the CLI handling on the </w:t>
      </w:r>
      <w:r w:rsidR="00F13B57">
        <w:rPr>
          <w:lang w:val="en-US"/>
        </w:rPr>
        <w:t>in-band blocking power. O</w:t>
      </w:r>
      <w:r w:rsidR="00853FCF">
        <w:rPr>
          <w:lang w:val="en-US"/>
        </w:rPr>
        <w:t xml:space="preserve">ur view is that the CLI handling </w:t>
      </w:r>
      <w:r w:rsidR="00DF2159">
        <w:rPr>
          <w:lang w:val="en-US"/>
        </w:rPr>
        <w:t xml:space="preserve">should not be included due to various reasons. First, the </w:t>
      </w:r>
      <w:r w:rsidR="000B31D5">
        <w:rPr>
          <w:lang w:val="en-US"/>
        </w:rPr>
        <w:t xml:space="preserve">several </w:t>
      </w:r>
      <w:r w:rsidR="00DF2159">
        <w:rPr>
          <w:lang w:val="en-US"/>
        </w:rPr>
        <w:t xml:space="preserve">CLI handling </w:t>
      </w:r>
      <w:r w:rsidR="000B31D5">
        <w:rPr>
          <w:lang w:val="en-US"/>
        </w:rPr>
        <w:t xml:space="preserve">schemes </w:t>
      </w:r>
      <w:r w:rsidR="003B202B">
        <w:rPr>
          <w:lang w:val="en-US"/>
        </w:rPr>
        <w:t xml:space="preserve">discussed in RAN1 are </w:t>
      </w:r>
      <w:r w:rsidR="00DF2159">
        <w:rPr>
          <w:lang w:val="en-US"/>
        </w:rPr>
        <w:t xml:space="preserve">not </w:t>
      </w:r>
      <w:r w:rsidR="003B202B">
        <w:rPr>
          <w:lang w:val="en-US"/>
        </w:rPr>
        <w:t xml:space="preserve">a </w:t>
      </w:r>
      <w:r w:rsidR="000B31D5">
        <w:rPr>
          <w:lang w:val="en-US"/>
        </w:rPr>
        <w:t>mandatory</w:t>
      </w:r>
      <w:r w:rsidR="00DF2159">
        <w:rPr>
          <w:lang w:val="en-US"/>
        </w:rPr>
        <w:t xml:space="preserve"> fea</w:t>
      </w:r>
      <w:r w:rsidR="003B202B">
        <w:rPr>
          <w:lang w:val="en-US"/>
        </w:rPr>
        <w:t>ture</w:t>
      </w:r>
      <w:r w:rsidR="00DF2159">
        <w:rPr>
          <w:lang w:val="en-US"/>
        </w:rPr>
        <w:t xml:space="preserve"> and therefore should </w:t>
      </w:r>
      <w:r w:rsidR="006B719F">
        <w:rPr>
          <w:lang w:val="en-US"/>
        </w:rPr>
        <w:t xml:space="preserve">not </w:t>
      </w:r>
      <w:r w:rsidR="00DF2159">
        <w:rPr>
          <w:lang w:val="en-US"/>
        </w:rPr>
        <w:t>be assumed as baseline fo</w:t>
      </w:r>
      <w:r w:rsidR="000B31D5">
        <w:rPr>
          <w:lang w:val="en-US"/>
        </w:rPr>
        <w:t xml:space="preserve">r all </w:t>
      </w:r>
      <w:r w:rsidR="006B719F">
        <w:rPr>
          <w:lang w:val="en-US"/>
        </w:rPr>
        <w:t xml:space="preserve">SBFD </w:t>
      </w:r>
      <w:r w:rsidR="000B31D5">
        <w:rPr>
          <w:lang w:val="en-US"/>
        </w:rPr>
        <w:t xml:space="preserve">BS. </w:t>
      </w:r>
      <w:r w:rsidR="00375437">
        <w:rPr>
          <w:lang w:val="en-US"/>
        </w:rPr>
        <w:t xml:space="preserve">Moreover, </w:t>
      </w:r>
      <w:r w:rsidR="000B31D5">
        <w:rPr>
          <w:lang w:val="en-US"/>
        </w:rPr>
        <w:t>the benefits of applying CL</w:t>
      </w:r>
      <w:r w:rsidR="006B719F">
        <w:rPr>
          <w:lang w:val="en-US"/>
        </w:rPr>
        <w:t>I</w:t>
      </w:r>
      <w:r w:rsidR="000B31D5">
        <w:rPr>
          <w:lang w:val="en-US"/>
        </w:rPr>
        <w:t xml:space="preserve"> handling </w:t>
      </w:r>
      <w:r w:rsidR="006B719F">
        <w:rPr>
          <w:lang w:val="en-US"/>
        </w:rPr>
        <w:t>schemes</w:t>
      </w:r>
      <w:r w:rsidR="000B31D5">
        <w:rPr>
          <w:lang w:val="en-US"/>
        </w:rPr>
        <w:t xml:space="preserve"> is </w:t>
      </w:r>
      <w:r w:rsidR="006B719F">
        <w:rPr>
          <w:lang w:val="en-US"/>
        </w:rPr>
        <w:t>highly</w:t>
      </w:r>
      <w:r w:rsidR="000B31D5">
        <w:rPr>
          <w:lang w:val="en-US"/>
        </w:rPr>
        <w:t xml:space="preserve"> </w:t>
      </w:r>
      <w:r w:rsidR="00DD7682">
        <w:rPr>
          <w:lang w:val="en-US"/>
        </w:rPr>
        <w:t>dependent</w:t>
      </w:r>
      <w:r w:rsidR="000B31D5">
        <w:rPr>
          <w:lang w:val="en-US"/>
        </w:rPr>
        <w:t xml:space="preserve"> on the type </w:t>
      </w:r>
      <w:r w:rsidR="002D211E">
        <w:rPr>
          <w:lang w:val="en-US"/>
        </w:rPr>
        <w:t xml:space="preserve">of scenario, load conditions, </w:t>
      </w:r>
      <w:r w:rsidR="006B719F">
        <w:rPr>
          <w:lang w:val="en-US"/>
        </w:rPr>
        <w:t xml:space="preserve">antenna configuration, </w:t>
      </w:r>
      <w:r w:rsidR="00DD7682">
        <w:rPr>
          <w:lang w:val="en-US"/>
        </w:rPr>
        <w:t>etc.</w:t>
      </w:r>
      <w:r w:rsidR="000B31D5">
        <w:rPr>
          <w:lang w:val="en-US"/>
        </w:rPr>
        <w:t xml:space="preserve">, therefore agreeing on a specific value to account for the impact of the CLI handling schemes is quite </w:t>
      </w:r>
      <w:r w:rsidR="00DD7682">
        <w:rPr>
          <w:lang w:val="en-US"/>
        </w:rPr>
        <w:t>challenging</w:t>
      </w:r>
      <w:r w:rsidR="000B31D5">
        <w:rPr>
          <w:lang w:val="en-US"/>
        </w:rPr>
        <w:t>. Additionally, t</w:t>
      </w:r>
      <w:r w:rsidR="005016BA">
        <w:rPr>
          <w:lang w:val="en-US"/>
        </w:rPr>
        <w:t>he applicability of the RAN1 discussed CLI handling schemes to mitigate the adjacent channel interference is also questionable.</w:t>
      </w:r>
      <w:r w:rsidR="000B31D5">
        <w:rPr>
          <w:lang w:val="en-US"/>
        </w:rPr>
        <w:t xml:space="preserve"> </w:t>
      </w:r>
    </w:p>
    <w:p w14:paraId="6D49FF38" w14:textId="249701C8" w:rsidR="00735304" w:rsidRDefault="00735304" w:rsidP="00037015">
      <w:pPr>
        <w:pStyle w:val="Proposal"/>
      </w:pPr>
      <w:r>
        <w:t>RAN4 should not consider any effect of the CLI handling mechanisms</w:t>
      </w:r>
      <w:r w:rsidR="008F743B">
        <w:t xml:space="preserve"> </w:t>
      </w:r>
      <w:r w:rsidR="000371B9">
        <w:t xml:space="preserve">for the </w:t>
      </w:r>
      <w:r w:rsidR="008F743B">
        <w:t>calc</w:t>
      </w:r>
      <w:r w:rsidR="000371B9">
        <w:t>ula</w:t>
      </w:r>
      <w:r w:rsidR="008F743B">
        <w:t xml:space="preserve">tion </w:t>
      </w:r>
      <w:r w:rsidR="000371B9">
        <w:t>of t</w:t>
      </w:r>
      <w:r w:rsidR="008F743B">
        <w:t>he in-band blocking power levels.</w:t>
      </w:r>
    </w:p>
    <w:p w14:paraId="0112A3F0" w14:textId="01D1A5BC" w:rsidR="00471BCB" w:rsidRPr="00CF5D2B" w:rsidRDefault="00CE6AD2" w:rsidP="00037015">
      <w:r>
        <w:lastRenderedPageBreak/>
        <w:br/>
      </w:r>
      <w:r w:rsidR="00471BCB">
        <w:t>A</w:t>
      </w:r>
      <w:r w:rsidR="007454B4">
        <w:t>s</w:t>
      </w:r>
      <w:r w:rsidR="00471BCB">
        <w:t xml:space="preserve"> shown in the attached excel spreadsheet, </w:t>
      </w:r>
      <w:r w:rsidR="00F07C81">
        <w:t xml:space="preserve">we simulated </w:t>
      </w:r>
      <w:r w:rsidR="007454B4">
        <w:t xml:space="preserve">Case 3 for the scenarios 1, </w:t>
      </w:r>
      <w:r w:rsidR="00B42948">
        <w:t>3, 5, 6</w:t>
      </w:r>
      <w:r w:rsidR="004B1B43">
        <w:t>,</w:t>
      </w:r>
      <w:r w:rsidR="00B42948">
        <w:t xml:space="preserve"> and 9. </w:t>
      </w:r>
      <w:r w:rsidR="00F856A6">
        <w:t>A summary of the results can be found in the following table</w:t>
      </w:r>
      <w:r w:rsidR="007454B4">
        <w:t>, where the 99</w:t>
      </w:r>
      <w:r w:rsidR="007454B4" w:rsidRPr="00037015">
        <w:rPr>
          <w:vertAlign w:val="superscript"/>
        </w:rPr>
        <w:t>th</w:t>
      </w:r>
      <w:r w:rsidR="007454B4">
        <w:t xml:space="preserve"> percentile of the in-band </w:t>
      </w:r>
      <w:r w:rsidR="007454B4" w:rsidRPr="00037015">
        <w:rPr>
          <w:lang w:val="en-US"/>
        </w:rPr>
        <w:t>blocking power is collected.</w:t>
      </w:r>
      <w:r w:rsidR="001E20CF">
        <w:rPr>
          <w:lang w:val="en-US"/>
        </w:rPr>
        <w:t xml:space="preserve"> For </w:t>
      </w:r>
      <w:r w:rsidR="00935231">
        <w:rPr>
          <w:lang w:val="en-US"/>
        </w:rPr>
        <w:t>these results</w:t>
      </w:r>
      <w:r w:rsidR="001E20CF">
        <w:rPr>
          <w:lang w:val="en-US"/>
        </w:rPr>
        <w:t xml:space="preserve">, only the </w:t>
      </w:r>
      <w:r w:rsidR="0009156C">
        <w:rPr>
          <w:lang w:val="en-US"/>
        </w:rPr>
        <w:t>adjacent channel interference has be</w:t>
      </w:r>
      <w:r w:rsidR="00787148">
        <w:rPr>
          <w:lang w:val="en-US"/>
        </w:rPr>
        <w:t>en considered for the in-band blocking power calculation.</w:t>
      </w:r>
    </w:p>
    <w:p w14:paraId="75F4E062" w14:textId="1A5C4780" w:rsidR="00081374" w:rsidRDefault="00081374" w:rsidP="0003701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In-band blocking power [dBm] </w:t>
      </w:r>
      <w:r w:rsidR="00F5638D">
        <w:t xml:space="preserve">per </w:t>
      </w:r>
      <w:r>
        <w:t>scenario and antenna configuration</w:t>
      </w:r>
    </w:p>
    <w:tbl>
      <w:tblPr>
        <w:tblStyle w:val="TableGrid"/>
        <w:tblW w:w="9629" w:type="dxa"/>
        <w:jc w:val="center"/>
        <w:tblLook w:val="04A0" w:firstRow="1" w:lastRow="0" w:firstColumn="1" w:lastColumn="0" w:noHBand="0" w:noVBand="1"/>
      </w:tblPr>
      <w:tblGrid>
        <w:gridCol w:w="3397"/>
        <w:gridCol w:w="2694"/>
        <w:gridCol w:w="3538"/>
      </w:tblGrid>
      <w:tr w:rsidR="002C5FF7" w:rsidRPr="0000116E" w14:paraId="26F3B7F3" w14:textId="3E841AD8" w:rsidTr="00037015">
        <w:trPr>
          <w:trHeight w:val="417"/>
          <w:jc w:val="center"/>
        </w:trPr>
        <w:tc>
          <w:tcPr>
            <w:tcW w:w="3397" w:type="dxa"/>
          </w:tcPr>
          <w:p w14:paraId="54CACD6A" w14:textId="180FA892" w:rsidR="002C5FF7" w:rsidRPr="00037015" w:rsidRDefault="002C5FF7" w:rsidP="00037015">
            <w:pPr>
              <w:rPr>
                <w:b/>
                <w:bCs/>
              </w:rPr>
            </w:pPr>
            <w:r w:rsidRPr="00037015">
              <w:rPr>
                <w:b/>
                <w:bCs/>
              </w:rPr>
              <w:t>Case 3 scenarios</w:t>
            </w:r>
          </w:p>
        </w:tc>
        <w:tc>
          <w:tcPr>
            <w:tcW w:w="2694" w:type="dxa"/>
          </w:tcPr>
          <w:p w14:paraId="03372D8F" w14:textId="5B38C2A1" w:rsidR="002C5FF7" w:rsidRPr="00037015" w:rsidRDefault="002C5FF7" w:rsidP="00037015">
            <w:pPr>
              <w:rPr>
                <w:b/>
                <w:bCs/>
              </w:rPr>
            </w:pPr>
            <w:r w:rsidRPr="00037015">
              <w:rPr>
                <w:b/>
                <w:bCs/>
                <w:lang w:val="en-US"/>
              </w:rPr>
              <w:t>In-band blocking power</w:t>
            </w:r>
            <w:r w:rsidR="00813784">
              <w:rPr>
                <w:b/>
                <w:bCs/>
                <w:lang w:val="en-US"/>
              </w:rPr>
              <w:t xml:space="preserve"> at 99</w:t>
            </w:r>
            <w:r w:rsidR="00813784" w:rsidRPr="00037015">
              <w:rPr>
                <w:b/>
                <w:bCs/>
                <w:vertAlign w:val="superscript"/>
                <w:lang w:val="en-US"/>
              </w:rPr>
              <w:t>th</w:t>
            </w:r>
            <w:r w:rsidR="00813784">
              <w:rPr>
                <w:b/>
                <w:bCs/>
                <w:lang w:val="en-US"/>
              </w:rPr>
              <w:t xml:space="preserve"> percentile</w:t>
            </w:r>
          </w:p>
        </w:tc>
        <w:tc>
          <w:tcPr>
            <w:tcW w:w="3538" w:type="dxa"/>
          </w:tcPr>
          <w:p w14:paraId="6D06AEE0" w14:textId="4621433B" w:rsidR="002C5FF7" w:rsidRPr="002C5FF7" w:rsidRDefault="002C5FF7" w:rsidP="00CE6AD2">
            <w:pPr>
              <w:rPr>
                <w:b/>
                <w:bCs/>
                <w:lang w:val="en-US"/>
              </w:rPr>
            </w:pPr>
            <w:r>
              <w:rPr>
                <w:b/>
                <w:bCs/>
                <w:lang w:val="en-US"/>
              </w:rPr>
              <w:t xml:space="preserve">Current in-band blocking </w:t>
            </w:r>
            <w:r w:rsidR="007C6C46">
              <w:rPr>
                <w:b/>
                <w:bCs/>
                <w:lang w:val="en-US"/>
              </w:rPr>
              <w:t>in TS 38.104</w:t>
            </w:r>
          </w:p>
        </w:tc>
      </w:tr>
      <w:tr w:rsidR="002C5FF7" w:rsidRPr="0000116E" w14:paraId="40FB3964" w14:textId="08AB4363" w:rsidTr="00037015">
        <w:trPr>
          <w:trHeight w:val="417"/>
          <w:jc w:val="center"/>
        </w:trPr>
        <w:tc>
          <w:tcPr>
            <w:tcW w:w="3397" w:type="dxa"/>
          </w:tcPr>
          <w:p w14:paraId="7898A547" w14:textId="66BBD65B" w:rsidR="002C5FF7" w:rsidRPr="00E11FB4" w:rsidRDefault="002C5FF7" w:rsidP="00037015">
            <w:r w:rsidRPr="00037015">
              <w:rPr>
                <w:lang w:val="en-US"/>
              </w:rPr>
              <w:t xml:space="preserve">Scenario 1 </w:t>
            </w:r>
            <w:r w:rsidR="00F23B52">
              <w:rPr>
                <w:lang w:val="en-US"/>
              </w:rPr>
              <w:t>(</w:t>
            </w:r>
            <w:r w:rsidRPr="00037015">
              <w:rPr>
                <w:lang w:val="en-US"/>
              </w:rPr>
              <w:t>Urban macro FR1</w:t>
            </w:r>
            <w:r w:rsidR="00F23B52">
              <w:rPr>
                <w:lang w:val="en-US"/>
              </w:rPr>
              <w:t>)</w:t>
            </w:r>
          </w:p>
        </w:tc>
        <w:tc>
          <w:tcPr>
            <w:tcW w:w="2694" w:type="dxa"/>
          </w:tcPr>
          <w:p w14:paraId="13098291" w14:textId="1D115770" w:rsidR="002C5FF7" w:rsidRPr="00CF5D2B" w:rsidRDefault="002B0E2F" w:rsidP="00037015">
            <w:r>
              <w:rPr>
                <w:lang w:val="en-US"/>
              </w:rPr>
              <w:t>-2.1</w:t>
            </w:r>
            <w:r w:rsidR="002C5FF7">
              <w:rPr>
                <w:lang w:val="en-US"/>
              </w:rPr>
              <w:t xml:space="preserve"> dBm</w:t>
            </w:r>
          </w:p>
        </w:tc>
        <w:tc>
          <w:tcPr>
            <w:tcW w:w="3538" w:type="dxa"/>
          </w:tcPr>
          <w:p w14:paraId="2D44DD98" w14:textId="4B496DC9" w:rsidR="002C5FF7" w:rsidRDefault="00DC0E6E" w:rsidP="00CE6AD2">
            <w:pPr>
              <w:rPr>
                <w:lang w:val="en-US"/>
              </w:rPr>
            </w:pPr>
            <w:r>
              <w:rPr>
                <w:lang w:val="en-US"/>
              </w:rPr>
              <w:t xml:space="preserve">Wide Area </w:t>
            </w:r>
            <w:r w:rsidR="00DD7826">
              <w:rPr>
                <w:lang w:val="en-US"/>
              </w:rPr>
              <w:t xml:space="preserve">FR1 </w:t>
            </w:r>
            <w:r>
              <w:rPr>
                <w:lang w:val="en-US"/>
              </w:rPr>
              <w:t>BS: -43 dBm</w:t>
            </w:r>
          </w:p>
        </w:tc>
      </w:tr>
      <w:tr w:rsidR="002C5FF7" w:rsidRPr="0000116E" w14:paraId="20700ADE" w14:textId="53ACFE1A" w:rsidTr="00037015">
        <w:trPr>
          <w:trHeight w:val="417"/>
          <w:jc w:val="center"/>
        </w:trPr>
        <w:tc>
          <w:tcPr>
            <w:tcW w:w="3397" w:type="dxa"/>
          </w:tcPr>
          <w:p w14:paraId="3236E750" w14:textId="58625F03" w:rsidR="002C5FF7" w:rsidRPr="00CF5D2B" w:rsidRDefault="002C5FF7" w:rsidP="00037015">
            <w:r w:rsidRPr="00037015">
              <w:rPr>
                <w:lang w:val="en-US"/>
              </w:rPr>
              <w:t>Scenario 3</w:t>
            </w:r>
            <w:r w:rsidR="00F23B52">
              <w:rPr>
                <w:lang w:val="en-US"/>
              </w:rPr>
              <w:t xml:space="preserve"> (</w:t>
            </w:r>
            <w:r w:rsidRPr="00037015">
              <w:rPr>
                <w:lang w:val="en-US"/>
              </w:rPr>
              <w:t>Urban micro FR</w:t>
            </w:r>
            <w:r>
              <w:rPr>
                <w:lang w:val="en-US"/>
              </w:rPr>
              <w:t>1</w:t>
            </w:r>
            <w:r w:rsidR="00F23B52">
              <w:rPr>
                <w:lang w:val="en-US"/>
              </w:rPr>
              <w:t>)</w:t>
            </w:r>
          </w:p>
        </w:tc>
        <w:tc>
          <w:tcPr>
            <w:tcW w:w="2694" w:type="dxa"/>
          </w:tcPr>
          <w:p w14:paraId="7F54B576" w14:textId="453A81A3" w:rsidR="002C5FF7" w:rsidRPr="00CF5D2B" w:rsidRDefault="002C5FF7" w:rsidP="00037015">
            <w:r>
              <w:rPr>
                <w:lang w:val="en-US"/>
              </w:rPr>
              <w:t>-7.3</w:t>
            </w:r>
            <w:r w:rsidRPr="00037015">
              <w:rPr>
                <w:lang w:val="en-US"/>
              </w:rPr>
              <w:t xml:space="preserve"> dBm</w:t>
            </w:r>
          </w:p>
        </w:tc>
        <w:tc>
          <w:tcPr>
            <w:tcW w:w="3538" w:type="dxa"/>
          </w:tcPr>
          <w:p w14:paraId="2E9D09EE" w14:textId="38C7DBBF" w:rsidR="002C5FF7" w:rsidRDefault="004715DF" w:rsidP="00CE6AD2">
            <w:pPr>
              <w:rPr>
                <w:lang w:val="en-US"/>
              </w:rPr>
            </w:pPr>
            <w:r>
              <w:rPr>
                <w:lang w:val="en-US"/>
              </w:rPr>
              <w:t xml:space="preserve">Medium Range </w:t>
            </w:r>
            <w:r w:rsidR="00DD7826">
              <w:rPr>
                <w:lang w:val="en-US"/>
              </w:rPr>
              <w:t xml:space="preserve">FR1 </w:t>
            </w:r>
            <w:r>
              <w:rPr>
                <w:lang w:val="en-US"/>
              </w:rPr>
              <w:t>BS: -38 dBm</w:t>
            </w:r>
          </w:p>
        </w:tc>
      </w:tr>
      <w:tr w:rsidR="002C5FF7" w:rsidRPr="0000116E" w14:paraId="44CD8457" w14:textId="7F05CA98" w:rsidTr="00037015">
        <w:trPr>
          <w:trHeight w:val="417"/>
          <w:jc w:val="center"/>
        </w:trPr>
        <w:tc>
          <w:tcPr>
            <w:tcW w:w="3397" w:type="dxa"/>
          </w:tcPr>
          <w:p w14:paraId="3AA1C5E8" w14:textId="4146B37A" w:rsidR="002C5FF7" w:rsidRPr="00CF5D2B" w:rsidRDefault="002C5FF7" w:rsidP="00037015">
            <w:r w:rsidRPr="00037015">
              <w:rPr>
                <w:lang w:val="en-US"/>
              </w:rPr>
              <w:t>Scenario 5</w:t>
            </w:r>
            <w:r w:rsidR="00F23B52">
              <w:rPr>
                <w:lang w:val="en-US"/>
              </w:rPr>
              <w:t xml:space="preserve"> (</w:t>
            </w:r>
            <w:r w:rsidRPr="00037015">
              <w:rPr>
                <w:lang w:val="en-US"/>
              </w:rPr>
              <w:t>Indoor FR1</w:t>
            </w:r>
            <w:r w:rsidR="00F23B52">
              <w:rPr>
                <w:lang w:val="en-US"/>
              </w:rPr>
              <w:t>)</w:t>
            </w:r>
          </w:p>
        </w:tc>
        <w:tc>
          <w:tcPr>
            <w:tcW w:w="2694" w:type="dxa"/>
          </w:tcPr>
          <w:p w14:paraId="6B322347" w14:textId="5D0C042F" w:rsidR="002C5FF7" w:rsidRPr="00CF5D2B" w:rsidRDefault="002C5FF7" w:rsidP="00037015">
            <w:r>
              <w:rPr>
                <w:lang w:val="en-US"/>
              </w:rPr>
              <w:t>-39.2</w:t>
            </w:r>
            <w:r w:rsidRPr="00037015">
              <w:rPr>
                <w:lang w:val="en-US"/>
              </w:rPr>
              <w:t xml:space="preserve"> dBm</w:t>
            </w:r>
          </w:p>
        </w:tc>
        <w:tc>
          <w:tcPr>
            <w:tcW w:w="3538" w:type="dxa"/>
          </w:tcPr>
          <w:p w14:paraId="1C3A2753" w14:textId="161D2A5F" w:rsidR="002C5FF7" w:rsidRDefault="004715DF" w:rsidP="00CE6AD2">
            <w:pPr>
              <w:rPr>
                <w:lang w:val="en-US"/>
              </w:rPr>
            </w:pPr>
            <w:r>
              <w:rPr>
                <w:lang w:val="en-US"/>
              </w:rPr>
              <w:t xml:space="preserve">Local Area </w:t>
            </w:r>
            <w:r w:rsidR="00DD7826">
              <w:rPr>
                <w:lang w:val="en-US"/>
              </w:rPr>
              <w:t xml:space="preserve">FR1 </w:t>
            </w:r>
            <w:r>
              <w:rPr>
                <w:lang w:val="en-US"/>
              </w:rPr>
              <w:t>BS: -35 dBm</w:t>
            </w:r>
          </w:p>
        </w:tc>
      </w:tr>
      <w:tr w:rsidR="002C5FF7" w:rsidRPr="0000116E" w14:paraId="2C4F3ED8" w14:textId="679ED984" w:rsidTr="00037015">
        <w:trPr>
          <w:trHeight w:val="417"/>
          <w:jc w:val="center"/>
        </w:trPr>
        <w:tc>
          <w:tcPr>
            <w:tcW w:w="3397" w:type="dxa"/>
          </w:tcPr>
          <w:p w14:paraId="19603394" w14:textId="5BA8B150" w:rsidR="002C5FF7" w:rsidRPr="00CF5D2B" w:rsidRDefault="002C5FF7" w:rsidP="00037015">
            <w:r w:rsidRPr="00037015">
              <w:rPr>
                <w:lang w:val="en-US"/>
              </w:rPr>
              <w:t>Scenario 6</w:t>
            </w:r>
            <w:r w:rsidR="00F23B52">
              <w:rPr>
                <w:lang w:val="en-US"/>
              </w:rPr>
              <w:t xml:space="preserve"> (</w:t>
            </w:r>
            <w:r w:rsidRPr="00037015">
              <w:rPr>
                <w:lang w:val="en-US"/>
              </w:rPr>
              <w:t>Urban macro FR2</w:t>
            </w:r>
            <w:r w:rsidR="00F23B52">
              <w:rPr>
                <w:lang w:val="en-US"/>
              </w:rPr>
              <w:t>)</w:t>
            </w:r>
          </w:p>
        </w:tc>
        <w:tc>
          <w:tcPr>
            <w:tcW w:w="2694" w:type="dxa"/>
          </w:tcPr>
          <w:p w14:paraId="1AA77761" w14:textId="4837EDD2" w:rsidR="002C5FF7" w:rsidRPr="00CF5D2B" w:rsidRDefault="003D6FBA" w:rsidP="00037015">
            <w:r>
              <w:t>-38</w:t>
            </w:r>
            <w:r w:rsidR="00A875CA">
              <w:t>.1</w:t>
            </w:r>
            <w:r>
              <w:t xml:space="preserve"> dBm</w:t>
            </w:r>
          </w:p>
        </w:tc>
        <w:tc>
          <w:tcPr>
            <w:tcW w:w="3538" w:type="dxa"/>
          </w:tcPr>
          <w:p w14:paraId="540B83E7" w14:textId="3CBC9086" w:rsidR="002C5FF7" w:rsidRDefault="23AEC728" w:rsidP="00CE6AD2">
            <w:r>
              <w:t xml:space="preserve">Wide Area FR2-1 BS: </w:t>
            </w:r>
            <w:r w:rsidR="59E81F59">
              <w:t>[-86, -63] dBm</w:t>
            </w:r>
          </w:p>
        </w:tc>
      </w:tr>
      <w:tr w:rsidR="002C5FF7" w:rsidRPr="0000116E" w14:paraId="710E9C45" w14:textId="1DB0F90D" w:rsidTr="00037015">
        <w:trPr>
          <w:trHeight w:val="417"/>
          <w:jc w:val="center"/>
        </w:trPr>
        <w:tc>
          <w:tcPr>
            <w:tcW w:w="3397" w:type="dxa"/>
          </w:tcPr>
          <w:p w14:paraId="6F9B4BD9" w14:textId="63840D20" w:rsidR="002C5FF7" w:rsidRPr="00CF5D2B" w:rsidRDefault="002C5FF7" w:rsidP="00037015">
            <w:r w:rsidRPr="00037015">
              <w:rPr>
                <w:lang w:val="en-US"/>
              </w:rPr>
              <w:t>Scenario 9</w:t>
            </w:r>
            <w:r w:rsidR="00F23B52">
              <w:rPr>
                <w:lang w:val="en-US"/>
              </w:rPr>
              <w:t xml:space="preserve"> (</w:t>
            </w:r>
            <w:r w:rsidRPr="00037015">
              <w:rPr>
                <w:lang w:val="en-US"/>
              </w:rPr>
              <w:t>Indoor FR2</w:t>
            </w:r>
            <w:r w:rsidR="00F23B52">
              <w:rPr>
                <w:lang w:val="en-US"/>
              </w:rPr>
              <w:t>)</w:t>
            </w:r>
          </w:p>
        </w:tc>
        <w:tc>
          <w:tcPr>
            <w:tcW w:w="2694" w:type="dxa"/>
          </w:tcPr>
          <w:p w14:paraId="33B9C981" w14:textId="6776BEEF" w:rsidR="002C5FF7" w:rsidRPr="00CF5D2B" w:rsidRDefault="001653D2" w:rsidP="00037015">
            <w:r>
              <w:t>-57.8 dBm</w:t>
            </w:r>
          </w:p>
        </w:tc>
        <w:tc>
          <w:tcPr>
            <w:tcW w:w="3538" w:type="dxa"/>
          </w:tcPr>
          <w:p w14:paraId="294F3101" w14:textId="575F0B29" w:rsidR="002C5FF7" w:rsidRDefault="009E20E3" w:rsidP="00CE6AD2">
            <w:r>
              <w:t>Local Area</w:t>
            </w:r>
            <w:r w:rsidR="00BB2BBD">
              <w:t xml:space="preserve"> FR2-1 BS: [-</w:t>
            </w:r>
            <w:r w:rsidR="00BF644A">
              <w:t>7</w:t>
            </w:r>
            <w:r w:rsidR="00BB2BBD">
              <w:t>6, -</w:t>
            </w:r>
            <w:r w:rsidR="00BF644A">
              <w:t>5</w:t>
            </w:r>
            <w:r w:rsidR="00BB2BBD">
              <w:t>3] dBm</w:t>
            </w:r>
          </w:p>
        </w:tc>
      </w:tr>
    </w:tbl>
    <w:p w14:paraId="76766D19" w14:textId="77777777" w:rsidR="007454B4" w:rsidRDefault="007454B4" w:rsidP="006907E0">
      <w:pPr>
        <w:pStyle w:val="00BodyText"/>
      </w:pPr>
    </w:p>
    <w:p w14:paraId="5B340DAE" w14:textId="2269D14E" w:rsidR="00CC7954" w:rsidRDefault="00491823" w:rsidP="00037015">
      <w:r>
        <w:t>Based on the results above the following is observed:</w:t>
      </w:r>
    </w:p>
    <w:p w14:paraId="1D6AED14" w14:textId="532B31C9" w:rsidR="00491823" w:rsidRDefault="00491823" w:rsidP="00491823">
      <w:pPr>
        <w:pStyle w:val="Observation"/>
      </w:pPr>
      <w:r>
        <w:t>For FR1 wide area SBFD BS, the in-band blocking power at the 99</w:t>
      </w:r>
      <w:r w:rsidRPr="00037015">
        <w:rPr>
          <w:vertAlign w:val="superscript"/>
        </w:rPr>
        <w:t>th</w:t>
      </w:r>
      <w:r>
        <w:t xml:space="preserve"> percentile is 1.8 dBm, which is </w:t>
      </w:r>
      <w:r w:rsidR="00BE0C28">
        <w:t xml:space="preserve">approximately </w:t>
      </w:r>
      <w:r w:rsidR="002B0E2F">
        <w:t>40</w:t>
      </w:r>
      <w:r w:rsidR="00BE0C28">
        <w:t xml:space="preserve"> dB higher than the current in-band blocking requirement.</w:t>
      </w:r>
    </w:p>
    <w:p w14:paraId="15F1E0EA" w14:textId="300E857C" w:rsidR="00BE0C28" w:rsidRDefault="00BE0C28" w:rsidP="00BE0C28">
      <w:pPr>
        <w:pStyle w:val="Observation"/>
      </w:pPr>
      <w:r>
        <w:t>For FR1 medium range SBFD BS, the in-band blocking power at the 99</w:t>
      </w:r>
      <w:r w:rsidRPr="00467C85">
        <w:rPr>
          <w:vertAlign w:val="superscript"/>
        </w:rPr>
        <w:t>th</w:t>
      </w:r>
      <w:r>
        <w:t xml:space="preserve"> percentile is -7.3 dBm, which is approximately </w:t>
      </w:r>
      <w:r w:rsidR="006A3278">
        <w:t>30</w:t>
      </w:r>
      <w:r>
        <w:t xml:space="preserve"> dB higher than the current in-band blocking requirement.</w:t>
      </w:r>
    </w:p>
    <w:p w14:paraId="640C9189" w14:textId="50380343" w:rsidR="00BE0C28" w:rsidRDefault="00BE0C28" w:rsidP="00BE0C28">
      <w:pPr>
        <w:pStyle w:val="Observation"/>
      </w:pPr>
      <w:r>
        <w:t>For FR1 local area SBFD BS, the in-band blocking power at the 99</w:t>
      </w:r>
      <w:r w:rsidRPr="00467C85">
        <w:rPr>
          <w:vertAlign w:val="superscript"/>
        </w:rPr>
        <w:t>th</w:t>
      </w:r>
      <w:r>
        <w:t xml:space="preserve"> percentile is -39.2 dBm, which is </w:t>
      </w:r>
      <w:r w:rsidR="001653D2">
        <w:t xml:space="preserve">on </w:t>
      </w:r>
      <w:r w:rsidR="006A3278">
        <w:t xml:space="preserve">the same order of magnitude than the existing local area </w:t>
      </w:r>
      <w:r w:rsidR="00DD7826">
        <w:t xml:space="preserve">FR1 </w:t>
      </w:r>
      <w:r w:rsidR="006A3278">
        <w:t>BS</w:t>
      </w:r>
      <w:r>
        <w:t>.</w:t>
      </w:r>
    </w:p>
    <w:p w14:paraId="7CE089A6" w14:textId="6A218B91" w:rsidR="00BE0C28" w:rsidRDefault="00BE0C28" w:rsidP="00BE0C28">
      <w:pPr>
        <w:pStyle w:val="Observation"/>
      </w:pPr>
      <w:r>
        <w:t>For FR2</w:t>
      </w:r>
      <w:r w:rsidR="00040F8B">
        <w:t>-1</w:t>
      </w:r>
      <w:r>
        <w:t xml:space="preserve"> wide area SBFD BS, the in-band blocking power at the 99</w:t>
      </w:r>
      <w:r w:rsidRPr="00467C85">
        <w:rPr>
          <w:vertAlign w:val="superscript"/>
        </w:rPr>
        <w:t>th</w:t>
      </w:r>
      <w:r>
        <w:t xml:space="preserve"> percentile is </w:t>
      </w:r>
      <w:r w:rsidR="00A875CA">
        <w:t>-38.1</w:t>
      </w:r>
      <w:r>
        <w:t xml:space="preserve"> dBm, which is approximately </w:t>
      </w:r>
      <w:r w:rsidR="00B377ED">
        <w:t>25</w:t>
      </w:r>
      <w:r>
        <w:t xml:space="preserve"> dB higher than the current in-band blocking requirement.</w:t>
      </w:r>
    </w:p>
    <w:p w14:paraId="161694BD" w14:textId="07396979" w:rsidR="00BE0C28" w:rsidRDefault="00BE0C28" w:rsidP="00BE0C28">
      <w:pPr>
        <w:pStyle w:val="Observation"/>
      </w:pPr>
      <w:r>
        <w:t>For FR2</w:t>
      </w:r>
      <w:r w:rsidR="00040F8B">
        <w:t>-1</w:t>
      </w:r>
      <w:r>
        <w:t xml:space="preserve"> local area SBFD BS, the in-band blocking power at the 99</w:t>
      </w:r>
      <w:r w:rsidRPr="00467C85">
        <w:rPr>
          <w:vertAlign w:val="superscript"/>
        </w:rPr>
        <w:t>th</w:t>
      </w:r>
      <w:r>
        <w:t xml:space="preserve"> percentile is </w:t>
      </w:r>
      <w:r w:rsidR="001653D2">
        <w:t>-57.8</w:t>
      </w:r>
      <w:r>
        <w:t xml:space="preserve"> dBm, which is </w:t>
      </w:r>
      <w:r w:rsidR="001653D2">
        <w:t>on the same order of ma</w:t>
      </w:r>
      <w:r w:rsidR="001659CE">
        <w:t xml:space="preserve">gnitude than </w:t>
      </w:r>
      <w:r>
        <w:t>the current in-band blocking requirement.</w:t>
      </w:r>
    </w:p>
    <w:p w14:paraId="37F51391" w14:textId="77777777" w:rsidR="00E412BB" w:rsidRPr="00E412BB" w:rsidRDefault="00E412BB" w:rsidP="00E412BB">
      <w:pPr>
        <w:pStyle w:val="00BodyText"/>
      </w:pPr>
    </w:p>
    <w:p w14:paraId="49CB1B89" w14:textId="77777777" w:rsidR="001607F4" w:rsidRDefault="001607F4" w:rsidP="001607F4">
      <w:pPr>
        <w:pStyle w:val="Heading2"/>
      </w:pPr>
      <w:r>
        <w:t>Reference sensitivity level and OTA sensitivity</w:t>
      </w:r>
    </w:p>
    <w:p w14:paraId="0FEC2B97" w14:textId="77777777" w:rsidR="001607F4" w:rsidRDefault="001607F4" w:rsidP="001607F4">
      <w:r>
        <w:t xml:space="preserve">In the study phase of the Evolution of NR Duplex Operation, the following was agreed: </w:t>
      </w:r>
    </w:p>
    <w:p w14:paraId="72510B01" w14:textId="77777777" w:rsidR="001607F4" w:rsidRDefault="001607F4" w:rsidP="001607F4">
      <w:pPr>
        <w:rPr>
          <w:lang w:val="en-US" w:eastAsia="zh-CN"/>
        </w:rPr>
      </w:pPr>
      <w:r>
        <w:rPr>
          <w:rFonts w:hint="eastAsia"/>
          <w:lang w:val="en-US" w:eastAsia="zh-CN"/>
        </w:rPr>
        <w:t xml:space="preserve">Regarding Reference sensitivity requirement for SBFD-capable BS, due to the </w:t>
      </w:r>
      <w:proofErr w:type="spellStart"/>
      <w:r>
        <w:rPr>
          <w:rFonts w:hint="eastAsia"/>
          <w:lang w:val="en-US" w:eastAsia="zh-CN"/>
        </w:rPr>
        <w:t>self interference</w:t>
      </w:r>
      <w:proofErr w:type="spellEnd"/>
      <w:r>
        <w:rPr>
          <w:rFonts w:hint="eastAsia"/>
          <w:lang w:val="en-US" w:eastAsia="zh-CN"/>
        </w:rPr>
        <w:t xml:space="preserve"> caused internally to receiver side, RAN4 reached the following consensus:</w:t>
      </w:r>
    </w:p>
    <w:p w14:paraId="2A202CAF" w14:textId="77777777" w:rsidR="001607F4" w:rsidRDefault="001607F4" w:rsidP="001607F4">
      <w:pPr>
        <w:pStyle w:val="B1"/>
        <w:rPr>
          <w:lang w:val="en-US" w:eastAsia="zh-CN"/>
        </w:rPr>
      </w:pPr>
      <w:r>
        <w:rPr>
          <w:lang w:val="en-US" w:eastAsia="zh-CN"/>
        </w:rPr>
        <w:t>-</w:t>
      </w:r>
      <w:r>
        <w:rPr>
          <w:lang w:val="en-US" w:eastAsia="zh-CN"/>
        </w:rPr>
        <w:tab/>
      </w:r>
      <w:r>
        <w:rPr>
          <w:rFonts w:hint="eastAsia"/>
          <w:lang w:val="en-US" w:eastAsia="zh-CN"/>
        </w:rPr>
        <w:t xml:space="preserve">For BS type 1-H if supported: The existing requirement for conducted reference sensitivity level shall also be applied to BS in SBFD symbols, </w:t>
      </w:r>
      <w:proofErr w:type="spellStart"/>
      <w:r>
        <w:rPr>
          <w:rFonts w:hint="eastAsia"/>
          <w:lang w:val="en-US" w:eastAsia="zh-CN"/>
        </w:rPr>
        <w:t>i.e</w:t>
      </w:r>
      <w:proofErr w:type="spellEnd"/>
      <w:r>
        <w:rPr>
          <w:rFonts w:hint="eastAsia"/>
          <w:lang w:val="en-US" w:eastAsia="zh-CN"/>
        </w:rPr>
        <w:t xml:space="preserve">, no </w:t>
      </w:r>
      <w:r>
        <w:rPr>
          <w:lang w:val="en-US" w:eastAsia="zh-CN"/>
        </w:rPr>
        <w:t xml:space="preserve">sensitivity </w:t>
      </w:r>
      <w:r>
        <w:rPr>
          <w:rFonts w:hint="eastAsia"/>
          <w:lang w:val="en-US" w:eastAsia="zh-CN"/>
        </w:rPr>
        <w:t>degradation</w:t>
      </w:r>
      <w:r>
        <w:rPr>
          <w:lang w:val="en-US" w:eastAsia="zh-CN"/>
        </w:rPr>
        <w:t xml:space="preserve"> is</w:t>
      </w:r>
      <w:r>
        <w:rPr>
          <w:rFonts w:hint="eastAsia"/>
          <w:lang w:val="en-US" w:eastAsia="zh-CN"/>
        </w:rPr>
        <w:t xml:space="preserve"> allowed. </w:t>
      </w:r>
    </w:p>
    <w:p w14:paraId="2F5F1136" w14:textId="77777777" w:rsidR="001607F4" w:rsidRDefault="001607F4" w:rsidP="001607F4">
      <w:pPr>
        <w:pStyle w:val="B1"/>
        <w:rPr>
          <w:lang w:val="en-US" w:eastAsia="zh-CN"/>
        </w:rPr>
      </w:pPr>
      <w:r>
        <w:rPr>
          <w:lang w:val="en-US" w:eastAsia="zh-CN"/>
        </w:rPr>
        <w:t>-</w:t>
      </w:r>
      <w:r>
        <w:rPr>
          <w:lang w:val="en-US" w:eastAsia="zh-CN"/>
        </w:rPr>
        <w:tab/>
        <w:t xml:space="preserve">Otherwise, </w:t>
      </w:r>
      <w:r>
        <w:rPr>
          <w:rFonts w:hint="eastAsia"/>
          <w:lang w:val="en-US" w:eastAsia="zh-CN"/>
        </w:rPr>
        <w:t>OTA sensitivity requirement could be derived based on the following equation:</w:t>
      </w:r>
    </w:p>
    <w:p w14:paraId="6D242413" w14:textId="77777777" w:rsidR="001607F4" w:rsidRDefault="001607F4" w:rsidP="001607F4">
      <w:pPr>
        <w:pStyle w:val="EQ"/>
        <w:rPr>
          <w:i/>
          <w:color w:val="4F81BD"/>
          <w:kern w:val="2"/>
          <w:lang w:val="sv-SE" w:eastAsia="zh-CN"/>
        </w:rPr>
      </w:pPr>
      <w:r>
        <w:tab/>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P</m:t>
                </m:r>
              </m:e>
              <m:sub>
                <m:r>
                  <m:rPr>
                    <m:sty m:val="p"/>
                  </m:rPr>
                  <w:rPr>
                    <w:rFonts w:ascii="Cambria Math" w:hAnsi="Cambria Math"/>
                    <w:lang w:val="sv-SE"/>
                  </w:rPr>
                  <m:t>REFSENS</m:t>
                </m:r>
              </m:sub>
            </m:sSub>
            <m:d>
              <m:dPr>
                <m:ctrlPr>
                  <w:rPr>
                    <w:rFonts w:ascii="Cambria Math" w:hAnsi="Cambria Math"/>
                  </w:rPr>
                </m:ctrlPr>
              </m:dPr>
              <m:e>
                <m:r>
                  <m:rPr>
                    <m:sty m:val="p"/>
                  </m:rPr>
                  <w:rPr>
                    <w:rFonts w:ascii="Cambria Math" w:hAnsi="Cambria Math"/>
                    <w:lang w:val="sv-SE"/>
                  </w:rPr>
                  <m:t>dBm</m:t>
                </m:r>
              </m:e>
            </m:d>
            <m:r>
              <m:rPr>
                <m:sty m:val="p"/>
              </m:rPr>
              <w:rPr>
                <w:rFonts w:ascii="Cambria Math" w:hAnsi="Cambria Math"/>
                <w:lang w:val="sv-SE"/>
              </w:rPr>
              <m:t>=-174dBm+10×</m:t>
            </m:r>
          </m:fName>
          <m:e>
            <m:r>
              <m:rPr>
                <m:sty m:val="p"/>
              </m:rPr>
              <w:rPr>
                <w:rFonts w:ascii="Cambria Math" w:hAnsi="Cambria Math"/>
                <w:lang w:val="sv-SE"/>
              </w:rPr>
              <m:t>log10</m:t>
            </m:r>
          </m:e>
        </m:func>
        <m:r>
          <m:rPr>
            <m:sty m:val="p"/>
          </m:rPr>
          <w:rPr>
            <w:rFonts w:ascii="Cambria Math" w:hAnsi="Cambria Math"/>
            <w:lang w:val="sv-SE"/>
          </w:rPr>
          <m:t>(BW)+</m:t>
        </m:r>
        <m:sSub>
          <m:sSubPr>
            <m:ctrlPr>
              <w:rPr>
                <w:rFonts w:ascii="Cambria Math" w:hAnsi="Cambria Math"/>
              </w:rPr>
            </m:ctrlPr>
          </m:sSubPr>
          <m:e>
            <m:r>
              <m:rPr>
                <m:sty m:val="p"/>
              </m:rPr>
              <w:rPr>
                <w:rFonts w:ascii="Cambria Math" w:hAnsi="Cambria Math"/>
                <w:lang w:val="sv-SE"/>
              </w:rPr>
              <m:t>N</m:t>
            </m:r>
          </m:e>
          <m:sub>
            <m:r>
              <m:rPr>
                <m:sty m:val="p"/>
              </m:rPr>
              <w:rPr>
                <w:rFonts w:ascii="Cambria Math" w:hAnsi="Cambria Math"/>
                <w:lang w:val="sv-SE"/>
              </w:rPr>
              <m:t>F</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lang w:val="sv-SE"/>
              </w:rPr>
              <m:t>I</m:t>
            </m:r>
          </m:e>
          <m:sub>
            <m:r>
              <m:rPr>
                <m:sty m:val="p"/>
              </m:rPr>
              <w:rPr>
                <w:rFonts w:ascii="Cambria Math" w:hAnsi="Cambria Math"/>
                <w:lang w:val="sv-SE"/>
              </w:rPr>
              <m:t>M</m:t>
            </m:r>
          </m:sub>
        </m:sSub>
        <m:r>
          <m:rPr>
            <m:sty m:val="p"/>
          </m:rPr>
          <w:rPr>
            <w:rFonts w:ascii="Cambria Math" w:hAnsi="Cambria Math"/>
            <w:lang w:val="sv-SE"/>
          </w:rPr>
          <m:t>+SNR+[ desens target]</m:t>
        </m:r>
      </m:oMath>
      <w:r>
        <w:rPr>
          <w:i/>
          <w:kern w:val="2"/>
          <w:lang w:val="sv-SE" w:eastAsia="zh-CN"/>
        </w:rPr>
        <w:t>-G</w:t>
      </w:r>
    </w:p>
    <w:p w14:paraId="1E88D67B" w14:textId="77777777" w:rsidR="001607F4" w:rsidRDefault="001607F4" w:rsidP="001607F4">
      <w:pPr>
        <w:pStyle w:val="B2"/>
        <w:rPr>
          <w:lang w:val="en-US" w:eastAsia="zh-CN"/>
        </w:rPr>
      </w:pPr>
      <w:r>
        <w:rPr>
          <w:lang w:val="en-US" w:eastAsia="zh-CN"/>
        </w:rPr>
        <w:t>-</w:t>
      </w:r>
      <w:r>
        <w:rPr>
          <w:lang w:val="en-US" w:eastAsia="zh-CN"/>
        </w:rPr>
        <w:tab/>
        <w:t>The candidate value [0.5~1.</w:t>
      </w:r>
      <w:proofErr w:type="gramStart"/>
      <w:r>
        <w:rPr>
          <w:lang w:val="en-US" w:eastAsia="zh-CN"/>
        </w:rPr>
        <w:t>0]dB</w:t>
      </w:r>
      <w:proofErr w:type="gramEnd"/>
      <w:r>
        <w:rPr>
          <w:lang w:val="en-US" w:eastAsia="zh-CN"/>
        </w:rPr>
        <w:t xml:space="preserve"> degradation and final value will be specified in the WI phase.</w:t>
      </w:r>
    </w:p>
    <w:p w14:paraId="0298DD9E" w14:textId="77777777" w:rsidR="001607F4" w:rsidRDefault="001607F4" w:rsidP="001607F4">
      <w:pPr>
        <w:pStyle w:val="B2"/>
        <w:rPr>
          <w:lang w:val="en-US" w:eastAsia="zh-CN"/>
        </w:rPr>
      </w:pPr>
      <w:r>
        <w:rPr>
          <w:lang w:val="en-US" w:eastAsia="zh-CN"/>
        </w:rPr>
        <w:t>-</w:t>
      </w:r>
      <w:r>
        <w:rPr>
          <w:lang w:val="en-US" w:eastAsia="zh-CN"/>
        </w:rPr>
        <w:tab/>
        <w:t>The following aspects need more discussion during a WI phase</w:t>
      </w:r>
    </w:p>
    <w:p w14:paraId="3D7A9AF7" w14:textId="77777777" w:rsidR="001607F4" w:rsidRDefault="001607F4" w:rsidP="001607F4">
      <w:pPr>
        <w:pStyle w:val="B3"/>
        <w:rPr>
          <w:lang w:val="en-US" w:eastAsia="zh-CN"/>
        </w:rPr>
      </w:pPr>
      <w:r>
        <w:rPr>
          <w:lang w:val="en-US" w:eastAsia="zh-CN"/>
        </w:rPr>
        <w:t>-</w:t>
      </w:r>
      <w:r>
        <w:rPr>
          <w:lang w:val="en-US" w:eastAsia="zh-CN"/>
        </w:rPr>
        <w:tab/>
        <w:t>The declaration of maximum TRP for the requirement of OTA sensitivity within SBFD time slot</w:t>
      </w:r>
    </w:p>
    <w:p w14:paraId="2397C1C9" w14:textId="77777777" w:rsidR="001607F4" w:rsidRDefault="001607F4" w:rsidP="001607F4">
      <w:pPr>
        <w:pStyle w:val="B3"/>
        <w:rPr>
          <w:lang w:val="en-US" w:eastAsia="zh-CN"/>
        </w:rPr>
      </w:pPr>
      <w:r>
        <w:rPr>
          <w:lang w:val="en-US" w:eastAsia="zh-CN"/>
        </w:rPr>
        <w:t>-</w:t>
      </w:r>
      <w:r>
        <w:rPr>
          <w:lang w:val="en-US" w:eastAsia="zh-CN"/>
        </w:rPr>
        <w:tab/>
        <w:t>If OTA sensitivity should be defined considering all of the scenarios including self-interference, inter-site interference and inter-sector interference.</w:t>
      </w:r>
    </w:p>
    <w:p w14:paraId="0FF21483" w14:textId="77777777" w:rsidR="001607F4" w:rsidRDefault="001607F4" w:rsidP="00037015">
      <w:pPr>
        <w:jc w:val="both"/>
        <w:rPr>
          <w:lang w:val="en-US"/>
        </w:rPr>
      </w:pPr>
      <w:r>
        <w:rPr>
          <w:lang w:val="en-US"/>
        </w:rPr>
        <w:lastRenderedPageBreak/>
        <w:t xml:space="preserve">Even though SBFD is non-overlapping, it is still full duplex as the transmitter and receiver are operational at the same time in adjacent subbands. This makes it a completely different case compared to current TDD deployments and testing environment. Self-interference plays a major role in OTA sensitivity, but it is crucially important to also </w:t>
      </w:r>
      <w:proofErr w:type="gramStart"/>
      <w:r>
        <w:rPr>
          <w:lang w:val="en-US"/>
        </w:rPr>
        <w:t>take into account</w:t>
      </w:r>
      <w:proofErr w:type="gramEnd"/>
      <w:r>
        <w:rPr>
          <w:lang w:val="en-US"/>
        </w:rPr>
        <w:t xml:space="preserve"> the inter-sector and inter-site interference as they have a significant interfering impact, and they are much more difficult to cancel than self-interference. Including inter-sector interference and inter-site interference to OTA sensitivity testing would ensure the sensitivity degradation target is not exceeded. However, these types of interferences are not feasible to be tested in any reasonable test environment that would reflect real deployments that require isolating materials and other methods for needed isolation and for this reason, this is not seen as sensible method.</w:t>
      </w:r>
      <w:r>
        <w:t xml:space="preserve"> </w:t>
      </w:r>
      <w:r>
        <w:rPr>
          <w:lang w:val="en-US"/>
        </w:rPr>
        <w:t>As the benefits of functional SBFD system are in the UL improvements, we cannot sacrifice the sensitivity any more than the 1dB that was assumed in the study phase. Since the</w:t>
      </w:r>
      <w:r w:rsidRPr="006D4EF0">
        <w:rPr>
          <w:lang w:val="en-US"/>
        </w:rPr>
        <w:t xml:space="preserve"> OTA sensitivity requirement does not capture the effects from inter-sector and inter-</w:t>
      </w:r>
      <w:r>
        <w:rPr>
          <w:lang w:val="en-US"/>
        </w:rPr>
        <w:t>site</w:t>
      </w:r>
      <w:r w:rsidRPr="006D4EF0">
        <w:rPr>
          <w:lang w:val="en-US"/>
        </w:rPr>
        <w:t xml:space="preserve"> interference</w:t>
      </w:r>
      <w:r>
        <w:rPr>
          <w:lang w:val="en-US"/>
        </w:rPr>
        <w:t xml:space="preserve"> but self-interference only, the maximum value that can be accepted for [</w:t>
      </w:r>
      <w:proofErr w:type="spellStart"/>
      <w:r>
        <w:rPr>
          <w:lang w:val="en-US"/>
        </w:rPr>
        <w:t>desens</w:t>
      </w:r>
      <w:proofErr w:type="spellEnd"/>
      <w:r>
        <w:rPr>
          <w:lang w:val="en-US"/>
        </w:rPr>
        <w:t xml:space="preserve"> target] in the OTA sensitivity formula should be 0.5dB with leaving 0.5dB for desensitization due to inter-sector and inter-site interference.</w:t>
      </w:r>
    </w:p>
    <w:p w14:paraId="5509ACEC" w14:textId="77777777" w:rsidR="001607F4" w:rsidRDefault="001607F4" w:rsidP="001607F4">
      <w:pPr>
        <w:pStyle w:val="Proposal"/>
      </w:pPr>
      <w:r>
        <w:t xml:space="preserve"> Use maximum of 0.5dB for desensitization target value for the </w:t>
      </w:r>
      <w:r>
        <w:rPr>
          <w:rFonts w:hint="eastAsia"/>
          <w:lang w:eastAsia="zh-CN"/>
        </w:rPr>
        <w:t xml:space="preserve">OTA sensitivity requirement </w:t>
      </w:r>
      <w:r>
        <w:rPr>
          <w:lang w:eastAsia="zh-CN"/>
        </w:rPr>
        <w:t xml:space="preserve">due to </w:t>
      </w:r>
      <w:r>
        <w:t>self-interference.</w:t>
      </w:r>
    </w:p>
    <w:bookmarkEnd w:id="2"/>
    <w:bookmarkEnd w:id="3"/>
    <w:bookmarkEnd w:id="4"/>
    <w:p w14:paraId="10445A01" w14:textId="65BF2491" w:rsidR="00885580" w:rsidRDefault="007820D0" w:rsidP="00885580">
      <w:pPr>
        <w:pStyle w:val="Heading1"/>
      </w:pPr>
      <w:r>
        <w:t>Conclusion</w:t>
      </w:r>
    </w:p>
    <w:p w14:paraId="3D5BC62E" w14:textId="2AB56504"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xml:space="preserve">. There were </w:t>
      </w:r>
      <w:r w:rsidR="008E583C">
        <w:rPr>
          <w:rStyle w:val="normaltextrun"/>
        </w:rPr>
        <w:t>observations and proposals</w:t>
      </w:r>
      <w:r w:rsidR="005B7F2A">
        <w:rPr>
          <w:rStyle w:val="normaltextrun"/>
        </w:rPr>
        <w:t xml:space="preserve"> as listed below.</w:t>
      </w:r>
    </w:p>
    <w:p w14:paraId="64CCB5B6" w14:textId="77777777" w:rsidR="00DC17B6" w:rsidRDefault="00DC17B6" w:rsidP="00DC17B6">
      <w:pPr>
        <w:pStyle w:val="Observation"/>
        <w:numPr>
          <w:ilvl w:val="0"/>
          <w:numId w:val="28"/>
        </w:numPr>
      </w:pPr>
      <w:r>
        <w:t>The interference components for the in-band blocking calculation do not account for the ACLR and ACS effects.</w:t>
      </w:r>
    </w:p>
    <w:p w14:paraId="53B145E4" w14:textId="77777777" w:rsidR="00DC17B6" w:rsidRDefault="00DC17B6" w:rsidP="00DC17B6">
      <w:pPr>
        <w:pStyle w:val="Observation"/>
        <w:numPr>
          <w:ilvl w:val="0"/>
          <w:numId w:val="28"/>
        </w:numPr>
      </w:pPr>
      <w:r>
        <w:t xml:space="preserve">Current BS RF in-band blocking requirements only consider adjacent channel interference. </w:t>
      </w:r>
    </w:p>
    <w:p w14:paraId="21C13B62" w14:textId="77777777" w:rsidR="00DC17B6" w:rsidRDefault="00DC17B6" w:rsidP="00DC17B6">
      <w:pPr>
        <w:pStyle w:val="Observation"/>
        <w:numPr>
          <w:ilvl w:val="0"/>
          <w:numId w:val="28"/>
        </w:numPr>
      </w:pPr>
      <w:r>
        <w:t>Whether or not to include the SBFD co-channel interference as part of the in-band blocking derivation depend on whether current definition of the RAN4 in-band blocking requirement is updated or not.</w:t>
      </w:r>
    </w:p>
    <w:p w14:paraId="201D774B" w14:textId="77777777" w:rsidR="00DC17B6" w:rsidRDefault="00DC17B6" w:rsidP="00DC17B6">
      <w:pPr>
        <w:pStyle w:val="Observation"/>
        <w:numPr>
          <w:ilvl w:val="0"/>
          <w:numId w:val="28"/>
        </w:numPr>
      </w:pPr>
      <w:r>
        <w:t>For FR1 wide area SBFD BS, the in-band blocking power at the 99</w:t>
      </w:r>
      <w:r w:rsidRPr="00DC17B6">
        <w:rPr>
          <w:vertAlign w:val="superscript"/>
        </w:rPr>
        <w:t>th</w:t>
      </w:r>
      <w:r>
        <w:t xml:space="preserve"> percentile is 1.8 dBm, which is approximately 40 dB higher than the current in-band blocking requirement.</w:t>
      </w:r>
    </w:p>
    <w:p w14:paraId="257638C3" w14:textId="77777777" w:rsidR="00DC17B6" w:rsidRDefault="00DC17B6" w:rsidP="00DC17B6">
      <w:pPr>
        <w:pStyle w:val="Observation"/>
        <w:numPr>
          <w:ilvl w:val="0"/>
          <w:numId w:val="28"/>
        </w:numPr>
      </w:pPr>
      <w:r>
        <w:t>For FR1 medium range SBFD BS, the in-band blocking power at the 99</w:t>
      </w:r>
      <w:r w:rsidRPr="00DC17B6">
        <w:rPr>
          <w:vertAlign w:val="superscript"/>
        </w:rPr>
        <w:t>th</w:t>
      </w:r>
      <w:r>
        <w:t xml:space="preserve"> percentile is -7.3 dBm, which is approximately 30 dB higher than the current in-band blocking requirement.</w:t>
      </w:r>
    </w:p>
    <w:p w14:paraId="436C5360" w14:textId="77777777" w:rsidR="00DC17B6" w:rsidRDefault="00DC17B6" w:rsidP="00DC17B6">
      <w:pPr>
        <w:pStyle w:val="Observation"/>
        <w:numPr>
          <w:ilvl w:val="0"/>
          <w:numId w:val="28"/>
        </w:numPr>
      </w:pPr>
      <w:r>
        <w:t>For FR1 local area SBFD BS, the in-band blocking power at the 99</w:t>
      </w:r>
      <w:r w:rsidRPr="00DC17B6">
        <w:rPr>
          <w:vertAlign w:val="superscript"/>
        </w:rPr>
        <w:t>th</w:t>
      </w:r>
      <w:r>
        <w:t xml:space="preserve"> percentile is -39.2 dBm, which is on the same order of magnitude than the existing local area FR1 BS.</w:t>
      </w:r>
    </w:p>
    <w:p w14:paraId="2DC76F1B" w14:textId="77777777" w:rsidR="00DC17B6" w:rsidRDefault="00DC17B6" w:rsidP="00DC17B6">
      <w:pPr>
        <w:pStyle w:val="Observation"/>
        <w:numPr>
          <w:ilvl w:val="0"/>
          <w:numId w:val="28"/>
        </w:numPr>
      </w:pPr>
      <w:r>
        <w:t>For FR2-1 wide area SBFD BS, the in-band blocking power at the 99</w:t>
      </w:r>
      <w:r w:rsidRPr="00DC17B6">
        <w:rPr>
          <w:vertAlign w:val="superscript"/>
        </w:rPr>
        <w:t>th</w:t>
      </w:r>
      <w:r>
        <w:t xml:space="preserve"> percentile is -38.1 dBm, which is approximately 25 dB higher than the current in-band blocking requirement.</w:t>
      </w:r>
    </w:p>
    <w:p w14:paraId="56FE217E" w14:textId="77777777" w:rsidR="00DC17B6" w:rsidRDefault="00DC17B6" w:rsidP="00DC17B6">
      <w:pPr>
        <w:pStyle w:val="Observation"/>
        <w:numPr>
          <w:ilvl w:val="0"/>
          <w:numId w:val="28"/>
        </w:numPr>
      </w:pPr>
      <w:r>
        <w:t>For FR2-1 local area SBFD BS, the in-band blocking power at the 99</w:t>
      </w:r>
      <w:r w:rsidRPr="00DC17B6">
        <w:rPr>
          <w:vertAlign w:val="superscript"/>
        </w:rPr>
        <w:t>th</w:t>
      </w:r>
      <w:r>
        <w:t xml:space="preserve"> percentile is -57.8 dBm, which is on the same order of magnitude than the current in-band blocking requirement.</w:t>
      </w:r>
    </w:p>
    <w:p w14:paraId="3F25111C" w14:textId="77777777" w:rsidR="00DC17B6" w:rsidRDefault="00DC17B6" w:rsidP="00DC17B6">
      <w:pPr>
        <w:pStyle w:val="Proposal"/>
        <w:numPr>
          <w:ilvl w:val="0"/>
          <w:numId w:val="29"/>
        </w:numPr>
      </w:pPr>
      <w:r w:rsidRPr="007D5603">
        <w:t xml:space="preserve">RAN4 should include a clear statement on how the in-band blocking requirements for SBFD BS are derived </w:t>
      </w:r>
      <w:proofErr w:type="gramStart"/>
      <w:r w:rsidRPr="007D5603">
        <w:t>in order to</w:t>
      </w:r>
      <w:proofErr w:type="gramEnd"/>
      <w:r w:rsidRPr="007D5603">
        <w:t xml:space="preserve"> avoid possible misunderstandings.</w:t>
      </w:r>
    </w:p>
    <w:p w14:paraId="193EEC26" w14:textId="77777777" w:rsidR="00DC17B6" w:rsidRPr="00037015" w:rsidRDefault="00DC17B6" w:rsidP="00DC17B6">
      <w:pPr>
        <w:pStyle w:val="Proposal"/>
      </w:pPr>
      <w:r w:rsidRPr="00037015">
        <w:t>Consider only the adjacent channel interference power to determine the in-band blocking power.</w:t>
      </w:r>
    </w:p>
    <w:p w14:paraId="2C5EBBF2" w14:textId="77777777" w:rsidR="00DC17B6" w:rsidRDefault="00DC17B6" w:rsidP="00DC17B6">
      <w:pPr>
        <w:pStyle w:val="Proposal"/>
      </w:pPr>
      <w:r>
        <w:t>To reduce the scope of the simulations, 10% grid-shift is the only considered grid-shift value.</w:t>
      </w:r>
    </w:p>
    <w:p w14:paraId="495D020A" w14:textId="77777777" w:rsidR="00DC17B6" w:rsidRPr="008555E0" w:rsidRDefault="00DC17B6" w:rsidP="00DC17B6">
      <w:pPr>
        <w:pStyle w:val="Proposal"/>
      </w:pPr>
      <w:r>
        <w:t>To reduce the scope of the simulations, consider only SBFD antenna configurations and TDD BS transmit power defined as baseline or 1</w:t>
      </w:r>
      <w:r w:rsidRPr="00037015">
        <w:rPr>
          <w:vertAlign w:val="superscript"/>
        </w:rPr>
        <w:t>st</w:t>
      </w:r>
      <w:r>
        <w:t xml:space="preserve"> priority according to TR 38.858 Annex E.</w:t>
      </w:r>
    </w:p>
    <w:p w14:paraId="26EC9A77" w14:textId="77777777" w:rsidR="00DC17B6" w:rsidRDefault="00DC17B6" w:rsidP="00DC17B6">
      <w:pPr>
        <w:pStyle w:val="Proposal"/>
      </w:pPr>
      <w:r>
        <w:t>Use the 99</w:t>
      </w:r>
      <w:r w:rsidRPr="00037015">
        <w:rPr>
          <w:vertAlign w:val="superscript"/>
        </w:rPr>
        <w:t>th</w:t>
      </w:r>
      <w:r>
        <w:t xml:space="preserve"> percentile of the in-band blocking power CDF (X = 99) to derive the BS RF requirements.</w:t>
      </w:r>
    </w:p>
    <w:p w14:paraId="5DEE8006" w14:textId="77777777" w:rsidR="00DC17B6" w:rsidRPr="002D6537" w:rsidRDefault="00DC17B6" w:rsidP="00DC17B6">
      <w:pPr>
        <w:pStyle w:val="Proposal"/>
      </w:pPr>
      <w:r>
        <w:t>Re-use the excel spreadsheet from simulator calibration during the study item to collect the in-band blocking power results from different companies.</w:t>
      </w:r>
    </w:p>
    <w:p w14:paraId="2DDA5BF0" w14:textId="77777777" w:rsidR="00DC17B6" w:rsidRDefault="00DC17B6" w:rsidP="00DC17B6">
      <w:pPr>
        <w:pStyle w:val="Proposal"/>
      </w:pPr>
      <w:r>
        <w:lastRenderedPageBreak/>
        <w:t>RAN4 should not consider any effect of the CLI handling mechanisms for the calculation of the in-band blocking power levels.</w:t>
      </w:r>
    </w:p>
    <w:p w14:paraId="37851C6A" w14:textId="257826D5" w:rsidR="00DC17B6" w:rsidRDefault="00DC17B6" w:rsidP="00382476">
      <w:pPr>
        <w:pStyle w:val="Proposal"/>
      </w:pPr>
      <w:r>
        <w:t xml:space="preserve">Use maximum of 0.5dB for desensitization target value for the </w:t>
      </w:r>
      <w:r>
        <w:rPr>
          <w:rFonts w:hint="eastAsia"/>
          <w:lang w:eastAsia="zh-CN"/>
        </w:rPr>
        <w:t xml:space="preserve">OTA sensitivity requirement </w:t>
      </w:r>
      <w:r>
        <w:rPr>
          <w:lang w:eastAsia="zh-CN"/>
        </w:rPr>
        <w:t xml:space="preserve">due to </w:t>
      </w:r>
      <w:r>
        <w:t>self-interference.</w:t>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01566ACB" w14:textId="48949CFD" w:rsidR="00B608A9" w:rsidRPr="00733CC4" w:rsidRDefault="00650113" w:rsidP="00E3770E">
      <w:pPr>
        <w:pStyle w:val="ListParagraph"/>
        <w:numPr>
          <w:ilvl w:val="0"/>
          <w:numId w:val="4"/>
        </w:numPr>
        <w:jc w:val="both"/>
        <w:rPr>
          <w:sz w:val="20"/>
          <w:szCs w:val="20"/>
          <w:lang w:val="en-US"/>
        </w:rPr>
      </w:pPr>
      <w:r w:rsidRPr="00650113">
        <w:rPr>
          <w:sz w:val="20"/>
          <w:szCs w:val="20"/>
          <w:lang w:val="en-US"/>
        </w:rPr>
        <w:t>R</w:t>
      </w:r>
      <w:r w:rsidR="002C3049">
        <w:rPr>
          <w:sz w:val="20"/>
          <w:szCs w:val="20"/>
          <w:lang w:val="en-US"/>
        </w:rPr>
        <w:t>4</w:t>
      </w:r>
      <w:r w:rsidRPr="00650113">
        <w:rPr>
          <w:sz w:val="20"/>
          <w:szCs w:val="20"/>
          <w:lang w:val="en-US"/>
        </w:rPr>
        <w:t>-24</w:t>
      </w:r>
      <w:r w:rsidR="00973049">
        <w:rPr>
          <w:sz w:val="20"/>
          <w:szCs w:val="20"/>
          <w:lang w:val="en-US"/>
        </w:rPr>
        <w:t>09958</w:t>
      </w:r>
      <w:r w:rsidR="004D5DB4">
        <w:rPr>
          <w:sz w:val="20"/>
          <w:szCs w:val="20"/>
          <w:lang w:val="en-US"/>
        </w:rPr>
        <w:t xml:space="preserve"> </w:t>
      </w:r>
      <w:r w:rsidR="00B417A8">
        <w:rPr>
          <w:sz w:val="20"/>
          <w:szCs w:val="20"/>
          <w:lang w:val="en-US"/>
        </w:rPr>
        <w:t>“</w:t>
      </w:r>
      <w:r w:rsidR="002C3049" w:rsidRPr="002C3049">
        <w:rPr>
          <w:sz w:val="20"/>
          <w:szCs w:val="20"/>
          <w:lang w:val="en-US"/>
        </w:rPr>
        <w:t>Way Forward for [11</w:t>
      </w:r>
      <w:r w:rsidR="001E132D">
        <w:rPr>
          <w:sz w:val="20"/>
          <w:szCs w:val="20"/>
          <w:lang w:val="en-US"/>
        </w:rPr>
        <w:t>1</w:t>
      </w:r>
      <w:r w:rsidR="002C3049" w:rsidRPr="002C3049">
        <w:rPr>
          <w:sz w:val="20"/>
          <w:szCs w:val="20"/>
          <w:lang w:val="en-US"/>
        </w:rPr>
        <w:t xml:space="preserve">][313] </w:t>
      </w:r>
      <w:proofErr w:type="spellStart"/>
      <w:r w:rsidR="002C3049" w:rsidRPr="002C3049">
        <w:rPr>
          <w:sz w:val="20"/>
          <w:szCs w:val="20"/>
          <w:lang w:val="en-US"/>
        </w:rPr>
        <w:t>NR_duplex_evo</w:t>
      </w:r>
      <w:proofErr w:type="spellEnd"/>
      <w:r w:rsidR="00B417A8">
        <w:rPr>
          <w:sz w:val="20"/>
          <w:szCs w:val="20"/>
          <w:lang w:val="en-US"/>
        </w:rPr>
        <w:t>”, RAN</w:t>
      </w:r>
      <w:r w:rsidR="002C3049">
        <w:rPr>
          <w:sz w:val="20"/>
          <w:szCs w:val="20"/>
          <w:lang w:val="en-US"/>
        </w:rPr>
        <w:t>4</w:t>
      </w:r>
      <w:r w:rsidR="00B417A8">
        <w:rPr>
          <w:sz w:val="20"/>
          <w:szCs w:val="20"/>
          <w:lang w:val="en-US"/>
        </w:rPr>
        <w:t>#1</w:t>
      </w:r>
      <w:r w:rsidR="002C3049">
        <w:rPr>
          <w:sz w:val="20"/>
          <w:szCs w:val="20"/>
          <w:lang w:val="en-US"/>
        </w:rPr>
        <w:t>1</w:t>
      </w:r>
      <w:r w:rsidR="00973049">
        <w:rPr>
          <w:sz w:val="20"/>
          <w:szCs w:val="20"/>
          <w:lang w:val="en-US"/>
        </w:rPr>
        <w:t>1</w:t>
      </w:r>
      <w:r w:rsidR="002C3049">
        <w:rPr>
          <w:sz w:val="20"/>
          <w:szCs w:val="20"/>
          <w:lang w:val="en-US"/>
        </w:rPr>
        <w:t xml:space="preserve">, </w:t>
      </w:r>
      <w:r w:rsidR="00973049">
        <w:rPr>
          <w:sz w:val="20"/>
          <w:szCs w:val="20"/>
          <w:lang w:val="en-US"/>
        </w:rPr>
        <w:t>Fukuoka</w:t>
      </w:r>
      <w:r w:rsidR="002C3049">
        <w:rPr>
          <w:sz w:val="20"/>
          <w:szCs w:val="20"/>
          <w:lang w:val="en-US"/>
        </w:rPr>
        <w:t xml:space="preserve">, </w:t>
      </w:r>
      <w:r w:rsidR="00973049">
        <w:rPr>
          <w:sz w:val="20"/>
          <w:szCs w:val="20"/>
          <w:lang w:val="en-US"/>
        </w:rPr>
        <w:t>Japan</w:t>
      </w:r>
      <w:r w:rsidR="002C3049">
        <w:rPr>
          <w:sz w:val="20"/>
          <w:szCs w:val="20"/>
          <w:lang w:val="en-US"/>
        </w:rPr>
        <w:t xml:space="preserve">, </w:t>
      </w:r>
      <w:r w:rsidR="00973049">
        <w:rPr>
          <w:sz w:val="20"/>
          <w:szCs w:val="20"/>
          <w:lang w:val="en-US"/>
        </w:rPr>
        <w:t>20</w:t>
      </w:r>
      <w:r w:rsidR="002C3049" w:rsidRPr="00733CC4">
        <w:rPr>
          <w:sz w:val="20"/>
          <w:szCs w:val="20"/>
          <w:vertAlign w:val="superscript"/>
          <w:lang w:val="en-US"/>
        </w:rPr>
        <w:t>th</w:t>
      </w:r>
      <w:r w:rsidR="002C3049">
        <w:rPr>
          <w:sz w:val="20"/>
          <w:szCs w:val="20"/>
          <w:lang w:val="en-US"/>
        </w:rPr>
        <w:t>-</w:t>
      </w:r>
      <w:r w:rsidR="00973049">
        <w:rPr>
          <w:sz w:val="20"/>
          <w:szCs w:val="20"/>
          <w:lang w:val="en-US"/>
        </w:rPr>
        <w:t>24</w:t>
      </w:r>
      <w:r w:rsidR="002C3049" w:rsidRPr="00733CC4">
        <w:rPr>
          <w:sz w:val="20"/>
          <w:szCs w:val="20"/>
          <w:vertAlign w:val="superscript"/>
          <w:lang w:val="en-US"/>
        </w:rPr>
        <w:t>th</w:t>
      </w:r>
      <w:r w:rsidR="002C3049">
        <w:rPr>
          <w:sz w:val="20"/>
          <w:szCs w:val="20"/>
          <w:lang w:val="en-US"/>
        </w:rPr>
        <w:t xml:space="preserve"> </w:t>
      </w:r>
      <w:proofErr w:type="gramStart"/>
      <w:r w:rsidR="00973049">
        <w:rPr>
          <w:sz w:val="20"/>
          <w:szCs w:val="20"/>
          <w:lang w:val="en-US"/>
        </w:rPr>
        <w:t>May</w:t>
      </w:r>
      <w:r w:rsidR="002C3049">
        <w:rPr>
          <w:sz w:val="20"/>
          <w:szCs w:val="20"/>
          <w:lang w:val="en-US"/>
        </w:rPr>
        <w:t>,</w:t>
      </w:r>
      <w:proofErr w:type="gramEnd"/>
      <w:r w:rsidR="002C3049">
        <w:rPr>
          <w:sz w:val="20"/>
          <w:szCs w:val="20"/>
          <w:lang w:val="en-US"/>
        </w:rPr>
        <w:t xml:space="preserve"> 2024</w:t>
      </w:r>
    </w:p>
    <w:p w14:paraId="07E8A381" w14:textId="5086D987" w:rsidR="008C37EF" w:rsidRDefault="003B3BC6" w:rsidP="003B3BC6">
      <w:pPr>
        <w:pStyle w:val="ListParagraph"/>
        <w:numPr>
          <w:ilvl w:val="0"/>
          <w:numId w:val="4"/>
        </w:numPr>
        <w:jc w:val="both"/>
        <w:rPr>
          <w:sz w:val="20"/>
          <w:szCs w:val="20"/>
          <w:lang w:val="en-US"/>
        </w:rPr>
      </w:pPr>
      <w:r w:rsidRPr="000845BC">
        <w:rPr>
          <w:sz w:val="20"/>
          <w:szCs w:val="20"/>
          <w:lang w:val="en-US"/>
        </w:rPr>
        <w:t>T</w:t>
      </w:r>
      <w:r>
        <w:rPr>
          <w:sz w:val="20"/>
          <w:szCs w:val="20"/>
          <w:lang w:val="en-US"/>
        </w:rPr>
        <w:t>R</w:t>
      </w:r>
      <w:r w:rsidRPr="000845BC">
        <w:rPr>
          <w:sz w:val="20"/>
          <w:szCs w:val="20"/>
          <w:lang w:val="en-US"/>
        </w:rPr>
        <w:t xml:space="preserve"> 3</w:t>
      </w:r>
      <w:r>
        <w:rPr>
          <w:sz w:val="20"/>
          <w:szCs w:val="20"/>
          <w:lang w:val="en-US"/>
        </w:rPr>
        <w:t>8.858</w:t>
      </w:r>
      <w:r w:rsidRPr="000845BC">
        <w:rPr>
          <w:sz w:val="20"/>
          <w:szCs w:val="20"/>
          <w:lang w:val="en-US"/>
        </w:rPr>
        <w:t xml:space="preserve"> </w:t>
      </w:r>
      <w:r w:rsidR="00C2386E">
        <w:rPr>
          <w:sz w:val="20"/>
          <w:szCs w:val="20"/>
          <w:lang w:val="en-US"/>
        </w:rPr>
        <w:t>V</w:t>
      </w:r>
      <w:r w:rsidRPr="00326653">
        <w:rPr>
          <w:sz w:val="20"/>
          <w:szCs w:val="20"/>
          <w:lang w:val="en-US"/>
        </w:rPr>
        <w:t>18.</w:t>
      </w:r>
      <w:r w:rsidR="004673AB">
        <w:rPr>
          <w:sz w:val="20"/>
          <w:szCs w:val="20"/>
          <w:lang w:val="en-US"/>
        </w:rPr>
        <w:t>1</w:t>
      </w:r>
      <w:r w:rsidR="00326653">
        <w:rPr>
          <w:sz w:val="20"/>
          <w:szCs w:val="20"/>
          <w:lang w:val="en-US"/>
        </w:rPr>
        <w:t>.0</w:t>
      </w:r>
      <w:r>
        <w:rPr>
          <w:sz w:val="20"/>
          <w:szCs w:val="20"/>
          <w:lang w:val="en-US"/>
        </w:rPr>
        <w:t xml:space="preserve"> “</w:t>
      </w:r>
      <w:r w:rsidR="00DB1B9A" w:rsidRPr="00DB1B9A">
        <w:rPr>
          <w:sz w:val="20"/>
          <w:szCs w:val="20"/>
          <w:lang w:val="en-US"/>
        </w:rPr>
        <w:t>Study on Evolution of NR Duplex Operation</w:t>
      </w:r>
      <w:r>
        <w:rPr>
          <w:sz w:val="20"/>
          <w:szCs w:val="20"/>
          <w:lang w:val="en-US"/>
        </w:rPr>
        <w:t>”</w:t>
      </w:r>
    </w:p>
    <w:p w14:paraId="0ADD5D5E" w14:textId="77777777" w:rsidR="00161884" w:rsidRDefault="00161884" w:rsidP="00161884">
      <w:pPr>
        <w:pStyle w:val="ListParagraph"/>
        <w:numPr>
          <w:ilvl w:val="0"/>
          <w:numId w:val="4"/>
        </w:numPr>
        <w:jc w:val="both"/>
        <w:rPr>
          <w:sz w:val="20"/>
          <w:szCs w:val="20"/>
          <w:lang w:val="en-US"/>
        </w:rPr>
      </w:pPr>
      <w:r>
        <w:rPr>
          <w:sz w:val="20"/>
          <w:szCs w:val="20"/>
          <w:lang w:val="en-US"/>
        </w:rPr>
        <w:t>TR 25.942 V18.0.0 “</w:t>
      </w:r>
      <w:r w:rsidRPr="00161884">
        <w:rPr>
          <w:sz w:val="20"/>
          <w:szCs w:val="20"/>
          <w:lang w:val="en-US"/>
        </w:rPr>
        <w:t>Radio Frequency (RF) system scenarios</w:t>
      </w:r>
      <w:r>
        <w:rPr>
          <w:sz w:val="20"/>
          <w:szCs w:val="20"/>
          <w:lang w:val="en-US"/>
        </w:rPr>
        <w:t>”</w:t>
      </w:r>
    </w:p>
    <w:p w14:paraId="3E6A30C2" w14:textId="77777777" w:rsidR="00161884" w:rsidRPr="003B3BC6" w:rsidRDefault="00161884" w:rsidP="00161884">
      <w:pPr>
        <w:pStyle w:val="ListParagraph"/>
        <w:ind w:left="360"/>
        <w:jc w:val="both"/>
        <w:rPr>
          <w:sz w:val="20"/>
          <w:szCs w:val="20"/>
          <w:lang w:val="en-US"/>
        </w:rPr>
      </w:pPr>
    </w:p>
    <w:sectPr w:rsidR="00161884" w:rsidRPr="003B3BC6"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5985A9" w14:textId="77777777" w:rsidR="00782F36" w:rsidRDefault="00782F36">
      <w:r>
        <w:separator/>
      </w:r>
    </w:p>
  </w:endnote>
  <w:endnote w:type="continuationSeparator" w:id="0">
    <w:p w14:paraId="309D419C" w14:textId="77777777" w:rsidR="00782F36" w:rsidRDefault="00782F36">
      <w:r>
        <w:continuationSeparator/>
      </w:r>
    </w:p>
  </w:endnote>
  <w:endnote w:type="continuationNotice" w:id="1">
    <w:p w14:paraId="1AD93415" w14:textId="77777777" w:rsidR="00782F36" w:rsidRDefault="00782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30AA0" w14:textId="77777777" w:rsidR="00782F36" w:rsidRDefault="00782F36">
      <w:r>
        <w:separator/>
      </w:r>
    </w:p>
  </w:footnote>
  <w:footnote w:type="continuationSeparator" w:id="0">
    <w:p w14:paraId="390CE891" w14:textId="77777777" w:rsidR="00782F36" w:rsidRDefault="00782F36">
      <w:r>
        <w:continuationSeparator/>
      </w:r>
    </w:p>
  </w:footnote>
  <w:footnote w:type="continuationNotice" w:id="1">
    <w:p w14:paraId="002A0720" w14:textId="77777777" w:rsidR="00782F36" w:rsidRDefault="00782F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31E23212"/>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506FDF"/>
    <w:multiLevelType w:val="hybridMultilevel"/>
    <w:tmpl w:val="3D241112"/>
    <w:lvl w:ilvl="0" w:tplc="3DBE2224">
      <w:start w:val="1"/>
      <w:numFmt w:val="bullet"/>
      <w:lvlText w:val=""/>
      <w:lvlJc w:val="left"/>
      <w:pPr>
        <w:ind w:left="1080" w:hanging="360"/>
      </w:pPr>
      <w:rPr>
        <w:rFonts w:ascii="Symbol" w:hAnsi="Symbol"/>
      </w:rPr>
    </w:lvl>
    <w:lvl w:ilvl="1" w:tplc="1E842584">
      <w:start w:val="1"/>
      <w:numFmt w:val="bullet"/>
      <w:lvlText w:val=""/>
      <w:lvlJc w:val="left"/>
      <w:pPr>
        <w:ind w:left="1080" w:hanging="360"/>
      </w:pPr>
      <w:rPr>
        <w:rFonts w:ascii="Symbol" w:hAnsi="Symbol"/>
      </w:rPr>
    </w:lvl>
    <w:lvl w:ilvl="2" w:tplc="AA6ECD3A">
      <w:start w:val="1"/>
      <w:numFmt w:val="bullet"/>
      <w:lvlText w:val=""/>
      <w:lvlJc w:val="left"/>
      <w:pPr>
        <w:ind w:left="1080" w:hanging="360"/>
      </w:pPr>
      <w:rPr>
        <w:rFonts w:ascii="Symbol" w:hAnsi="Symbol"/>
      </w:rPr>
    </w:lvl>
    <w:lvl w:ilvl="3" w:tplc="E018B146">
      <w:start w:val="1"/>
      <w:numFmt w:val="bullet"/>
      <w:lvlText w:val=""/>
      <w:lvlJc w:val="left"/>
      <w:pPr>
        <w:ind w:left="1080" w:hanging="360"/>
      </w:pPr>
      <w:rPr>
        <w:rFonts w:ascii="Symbol" w:hAnsi="Symbol"/>
      </w:rPr>
    </w:lvl>
    <w:lvl w:ilvl="4" w:tplc="7BBAF838">
      <w:start w:val="1"/>
      <w:numFmt w:val="bullet"/>
      <w:lvlText w:val=""/>
      <w:lvlJc w:val="left"/>
      <w:pPr>
        <w:ind w:left="1080" w:hanging="360"/>
      </w:pPr>
      <w:rPr>
        <w:rFonts w:ascii="Symbol" w:hAnsi="Symbol"/>
      </w:rPr>
    </w:lvl>
    <w:lvl w:ilvl="5" w:tplc="110A2EE6">
      <w:start w:val="1"/>
      <w:numFmt w:val="bullet"/>
      <w:lvlText w:val=""/>
      <w:lvlJc w:val="left"/>
      <w:pPr>
        <w:ind w:left="1080" w:hanging="360"/>
      </w:pPr>
      <w:rPr>
        <w:rFonts w:ascii="Symbol" w:hAnsi="Symbol"/>
      </w:rPr>
    </w:lvl>
    <w:lvl w:ilvl="6" w:tplc="7A8EFF32">
      <w:start w:val="1"/>
      <w:numFmt w:val="bullet"/>
      <w:lvlText w:val=""/>
      <w:lvlJc w:val="left"/>
      <w:pPr>
        <w:ind w:left="1080" w:hanging="360"/>
      </w:pPr>
      <w:rPr>
        <w:rFonts w:ascii="Symbol" w:hAnsi="Symbol"/>
      </w:rPr>
    </w:lvl>
    <w:lvl w:ilvl="7" w:tplc="CC64AA86">
      <w:start w:val="1"/>
      <w:numFmt w:val="bullet"/>
      <w:lvlText w:val=""/>
      <w:lvlJc w:val="left"/>
      <w:pPr>
        <w:ind w:left="1080" w:hanging="360"/>
      </w:pPr>
      <w:rPr>
        <w:rFonts w:ascii="Symbol" w:hAnsi="Symbol"/>
      </w:rPr>
    </w:lvl>
    <w:lvl w:ilvl="8" w:tplc="5CF0FB3C">
      <w:start w:val="1"/>
      <w:numFmt w:val="bullet"/>
      <w:lvlText w:val=""/>
      <w:lvlJc w:val="left"/>
      <w:pPr>
        <w:ind w:left="1080" w:hanging="360"/>
      </w:pPr>
      <w:rPr>
        <w:rFonts w:ascii="Symbol" w:hAnsi="Symbol"/>
      </w:rPr>
    </w:lvl>
  </w:abstractNum>
  <w:abstractNum w:abstractNumId="12"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8"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18"/>
  </w:num>
  <w:num w:numId="9" w16cid:durableId="933249585">
    <w:abstractNumId w:val="2"/>
  </w:num>
  <w:num w:numId="10" w16cid:durableId="664356833">
    <w:abstractNumId w:val="17"/>
  </w:num>
  <w:num w:numId="11" w16cid:durableId="80681869">
    <w:abstractNumId w:val="8"/>
  </w:num>
  <w:num w:numId="12" w16cid:durableId="1566528953">
    <w:abstractNumId w:val="12"/>
  </w:num>
  <w:num w:numId="13" w16cid:durableId="350642282">
    <w:abstractNumId w:val="19"/>
  </w:num>
  <w:num w:numId="14" w16cid:durableId="847522526">
    <w:abstractNumId w:val="16"/>
  </w:num>
  <w:num w:numId="15" w16cid:durableId="1088382487">
    <w:abstractNumId w:val="13"/>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5"/>
  </w:num>
  <w:num w:numId="20" w16cid:durableId="409928289">
    <w:abstractNumId w:val="3"/>
  </w:num>
  <w:num w:numId="21" w16cid:durableId="510799493">
    <w:abstractNumId w:val="14"/>
  </w:num>
  <w:num w:numId="22" w16cid:durableId="2036300277">
    <w:abstractNumId w:val="9"/>
  </w:num>
  <w:num w:numId="23" w16cid:durableId="1096251784">
    <w:abstractNumId w:val="9"/>
  </w:num>
  <w:num w:numId="24" w16cid:durableId="1440881184">
    <w:abstractNumId w:val="9"/>
  </w:num>
  <w:num w:numId="25" w16cid:durableId="2002394159">
    <w:abstractNumId w:val="11"/>
  </w:num>
  <w:num w:numId="26" w16cid:durableId="511989292">
    <w:abstractNumId w:val="0"/>
    <w:lvlOverride w:ilvl="0">
      <w:startOverride w:val="1"/>
    </w:lvlOverride>
  </w:num>
  <w:num w:numId="27" w16cid:durableId="886257688">
    <w:abstractNumId w:val="6"/>
  </w:num>
  <w:num w:numId="28" w16cid:durableId="96411815">
    <w:abstractNumId w:val="0"/>
    <w:lvlOverride w:ilvl="0">
      <w:startOverride w:val="1"/>
    </w:lvlOverride>
  </w:num>
  <w:num w:numId="29" w16cid:durableId="556086778">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6E"/>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02"/>
    <w:rsid w:val="00006C3B"/>
    <w:rsid w:val="00006CB9"/>
    <w:rsid w:val="000074C4"/>
    <w:rsid w:val="0000781C"/>
    <w:rsid w:val="0000789D"/>
    <w:rsid w:val="000078D6"/>
    <w:rsid w:val="000079A6"/>
    <w:rsid w:val="000100BE"/>
    <w:rsid w:val="00010391"/>
    <w:rsid w:val="00010396"/>
    <w:rsid w:val="00010795"/>
    <w:rsid w:val="000107AD"/>
    <w:rsid w:val="000107D4"/>
    <w:rsid w:val="000108BF"/>
    <w:rsid w:val="00010E2C"/>
    <w:rsid w:val="0001111C"/>
    <w:rsid w:val="00011170"/>
    <w:rsid w:val="000112AC"/>
    <w:rsid w:val="0001158D"/>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52E"/>
    <w:rsid w:val="0001784B"/>
    <w:rsid w:val="00017B7F"/>
    <w:rsid w:val="00017C7D"/>
    <w:rsid w:val="00017E48"/>
    <w:rsid w:val="00017EDA"/>
    <w:rsid w:val="00017F92"/>
    <w:rsid w:val="00020384"/>
    <w:rsid w:val="00020DB0"/>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9F6"/>
    <w:rsid w:val="00035ADF"/>
    <w:rsid w:val="00035B5C"/>
    <w:rsid w:val="00035B84"/>
    <w:rsid w:val="00035D6E"/>
    <w:rsid w:val="00036446"/>
    <w:rsid w:val="0003666F"/>
    <w:rsid w:val="00036787"/>
    <w:rsid w:val="000368AC"/>
    <w:rsid w:val="000368EF"/>
    <w:rsid w:val="00036C43"/>
    <w:rsid w:val="00036E11"/>
    <w:rsid w:val="00037015"/>
    <w:rsid w:val="000371B9"/>
    <w:rsid w:val="000374D2"/>
    <w:rsid w:val="0003767C"/>
    <w:rsid w:val="00037787"/>
    <w:rsid w:val="00037970"/>
    <w:rsid w:val="00037CB1"/>
    <w:rsid w:val="0004033C"/>
    <w:rsid w:val="000403D6"/>
    <w:rsid w:val="0004043D"/>
    <w:rsid w:val="00040DA4"/>
    <w:rsid w:val="00040F4F"/>
    <w:rsid w:val="00040F8B"/>
    <w:rsid w:val="00041039"/>
    <w:rsid w:val="0004132D"/>
    <w:rsid w:val="000414BE"/>
    <w:rsid w:val="0004187B"/>
    <w:rsid w:val="00041C06"/>
    <w:rsid w:val="00041C9D"/>
    <w:rsid w:val="00041ECC"/>
    <w:rsid w:val="000423B6"/>
    <w:rsid w:val="00042A2D"/>
    <w:rsid w:val="000430EC"/>
    <w:rsid w:val="000432D6"/>
    <w:rsid w:val="0004344A"/>
    <w:rsid w:val="00043628"/>
    <w:rsid w:val="0004419D"/>
    <w:rsid w:val="000441DC"/>
    <w:rsid w:val="0004457B"/>
    <w:rsid w:val="000449A9"/>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092"/>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B96"/>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5F20"/>
    <w:rsid w:val="00066067"/>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083"/>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00E"/>
    <w:rsid w:val="000752E5"/>
    <w:rsid w:val="00075841"/>
    <w:rsid w:val="00075965"/>
    <w:rsid w:val="00075979"/>
    <w:rsid w:val="00075D33"/>
    <w:rsid w:val="00075FDA"/>
    <w:rsid w:val="0007613F"/>
    <w:rsid w:val="00076386"/>
    <w:rsid w:val="000764B7"/>
    <w:rsid w:val="00076D82"/>
    <w:rsid w:val="00076E7C"/>
    <w:rsid w:val="00077B1B"/>
    <w:rsid w:val="00077C0F"/>
    <w:rsid w:val="00077FD6"/>
    <w:rsid w:val="0008007F"/>
    <w:rsid w:val="00080294"/>
    <w:rsid w:val="00080BFC"/>
    <w:rsid w:val="00081374"/>
    <w:rsid w:val="00081EC2"/>
    <w:rsid w:val="00082154"/>
    <w:rsid w:val="0008220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856"/>
    <w:rsid w:val="00086D71"/>
    <w:rsid w:val="00086DB5"/>
    <w:rsid w:val="00086FD6"/>
    <w:rsid w:val="000872B9"/>
    <w:rsid w:val="00087313"/>
    <w:rsid w:val="000873EA"/>
    <w:rsid w:val="0008743B"/>
    <w:rsid w:val="0008769C"/>
    <w:rsid w:val="00087987"/>
    <w:rsid w:val="00087F0C"/>
    <w:rsid w:val="0009000E"/>
    <w:rsid w:val="00090258"/>
    <w:rsid w:val="000902C2"/>
    <w:rsid w:val="00090554"/>
    <w:rsid w:val="00090A0E"/>
    <w:rsid w:val="00090BBD"/>
    <w:rsid w:val="00090CFA"/>
    <w:rsid w:val="00090E01"/>
    <w:rsid w:val="00090F51"/>
    <w:rsid w:val="00091061"/>
    <w:rsid w:val="000910D0"/>
    <w:rsid w:val="000913A1"/>
    <w:rsid w:val="0009156C"/>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0E35"/>
    <w:rsid w:val="000A110A"/>
    <w:rsid w:val="000A1402"/>
    <w:rsid w:val="000A20BA"/>
    <w:rsid w:val="000A2546"/>
    <w:rsid w:val="000A25A0"/>
    <w:rsid w:val="000A262C"/>
    <w:rsid w:val="000A26F7"/>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715"/>
    <w:rsid w:val="000A58FD"/>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F7A"/>
    <w:rsid w:val="000B3057"/>
    <w:rsid w:val="000B31D5"/>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5F"/>
    <w:rsid w:val="000C35B2"/>
    <w:rsid w:val="000C35E6"/>
    <w:rsid w:val="000C36ED"/>
    <w:rsid w:val="000C3BFB"/>
    <w:rsid w:val="000C3CCC"/>
    <w:rsid w:val="000C3F03"/>
    <w:rsid w:val="000C416C"/>
    <w:rsid w:val="000C44CC"/>
    <w:rsid w:val="000C4548"/>
    <w:rsid w:val="000C4696"/>
    <w:rsid w:val="000C4ACE"/>
    <w:rsid w:val="000C4AD9"/>
    <w:rsid w:val="000C4E76"/>
    <w:rsid w:val="000C501D"/>
    <w:rsid w:val="000C5325"/>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2F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AA"/>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D50"/>
    <w:rsid w:val="000E7144"/>
    <w:rsid w:val="000E73C8"/>
    <w:rsid w:val="000E74CB"/>
    <w:rsid w:val="000E74CC"/>
    <w:rsid w:val="000E77A9"/>
    <w:rsid w:val="000E7A79"/>
    <w:rsid w:val="000F0016"/>
    <w:rsid w:val="000F0224"/>
    <w:rsid w:val="000F07F1"/>
    <w:rsid w:val="000F084C"/>
    <w:rsid w:val="000F0EA1"/>
    <w:rsid w:val="000F0F1D"/>
    <w:rsid w:val="000F1130"/>
    <w:rsid w:val="000F1573"/>
    <w:rsid w:val="000F15B2"/>
    <w:rsid w:val="000F1890"/>
    <w:rsid w:val="000F19DE"/>
    <w:rsid w:val="000F1B3C"/>
    <w:rsid w:val="000F1F3D"/>
    <w:rsid w:val="000F216B"/>
    <w:rsid w:val="000F252B"/>
    <w:rsid w:val="000F2686"/>
    <w:rsid w:val="000F2B39"/>
    <w:rsid w:val="000F2C15"/>
    <w:rsid w:val="000F2E1F"/>
    <w:rsid w:val="000F314D"/>
    <w:rsid w:val="000F3293"/>
    <w:rsid w:val="000F34A6"/>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7B4"/>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38E"/>
    <w:rsid w:val="00104A2F"/>
    <w:rsid w:val="00104CD0"/>
    <w:rsid w:val="00104E94"/>
    <w:rsid w:val="001054BE"/>
    <w:rsid w:val="00105654"/>
    <w:rsid w:val="00105B86"/>
    <w:rsid w:val="001062E1"/>
    <w:rsid w:val="001068D2"/>
    <w:rsid w:val="001069F2"/>
    <w:rsid w:val="00106A7D"/>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7DC"/>
    <w:rsid w:val="0011784B"/>
    <w:rsid w:val="00117C8C"/>
    <w:rsid w:val="00117E52"/>
    <w:rsid w:val="001204DD"/>
    <w:rsid w:val="00120B3E"/>
    <w:rsid w:val="00121846"/>
    <w:rsid w:val="00121909"/>
    <w:rsid w:val="00121A33"/>
    <w:rsid w:val="00121DB3"/>
    <w:rsid w:val="0012234F"/>
    <w:rsid w:val="001223CA"/>
    <w:rsid w:val="00122839"/>
    <w:rsid w:val="00122A42"/>
    <w:rsid w:val="00122B68"/>
    <w:rsid w:val="00122DA8"/>
    <w:rsid w:val="00123145"/>
    <w:rsid w:val="001232D4"/>
    <w:rsid w:val="00123416"/>
    <w:rsid w:val="001237AC"/>
    <w:rsid w:val="001237EF"/>
    <w:rsid w:val="001239D2"/>
    <w:rsid w:val="00123F22"/>
    <w:rsid w:val="00124121"/>
    <w:rsid w:val="00124390"/>
    <w:rsid w:val="00124485"/>
    <w:rsid w:val="00124B56"/>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AEA"/>
    <w:rsid w:val="00134B36"/>
    <w:rsid w:val="00134D55"/>
    <w:rsid w:val="00135248"/>
    <w:rsid w:val="001352A2"/>
    <w:rsid w:val="0013532A"/>
    <w:rsid w:val="00135378"/>
    <w:rsid w:val="0013551F"/>
    <w:rsid w:val="001355C7"/>
    <w:rsid w:val="00135959"/>
    <w:rsid w:val="00135992"/>
    <w:rsid w:val="001359A9"/>
    <w:rsid w:val="00135E2F"/>
    <w:rsid w:val="001360F3"/>
    <w:rsid w:val="001362C2"/>
    <w:rsid w:val="0013678C"/>
    <w:rsid w:val="0013686A"/>
    <w:rsid w:val="00136955"/>
    <w:rsid w:val="00136E19"/>
    <w:rsid w:val="00136FF6"/>
    <w:rsid w:val="001371B2"/>
    <w:rsid w:val="001371C6"/>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54A"/>
    <w:rsid w:val="0015174A"/>
    <w:rsid w:val="00151933"/>
    <w:rsid w:val="00151D56"/>
    <w:rsid w:val="001526B7"/>
    <w:rsid w:val="00152AE6"/>
    <w:rsid w:val="00152D31"/>
    <w:rsid w:val="001532BA"/>
    <w:rsid w:val="00153304"/>
    <w:rsid w:val="001533A5"/>
    <w:rsid w:val="001533FB"/>
    <w:rsid w:val="00153453"/>
    <w:rsid w:val="00153543"/>
    <w:rsid w:val="001536E4"/>
    <w:rsid w:val="00153AF3"/>
    <w:rsid w:val="00153E3B"/>
    <w:rsid w:val="00153FED"/>
    <w:rsid w:val="00154328"/>
    <w:rsid w:val="001543BF"/>
    <w:rsid w:val="00154DC1"/>
    <w:rsid w:val="0015513F"/>
    <w:rsid w:val="00155452"/>
    <w:rsid w:val="0015545E"/>
    <w:rsid w:val="001556DC"/>
    <w:rsid w:val="00155862"/>
    <w:rsid w:val="001558D7"/>
    <w:rsid w:val="00155BFD"/>
    <w:rsid w:val="00155E52"/>
    <w:rsid w:val="00155E93"/>
    <w:rsid w:val="00156277"/>
    <w:rsid w:val="001564C5"/>
    <w:rsid w:val="00156887"/>
    <w:rsid w:val="00156ABA"/>
    <w:rsid w:val="00156D62"/>
    <w:rsid w:val="001570C5"/>
    <w:rsid w:val="00157390"/>
    <w:rsid w:val="0015771E"/>
    <w:rsid w:val="00160441"/>
    <w:rsid w:val="0016062B"/>
    <w:rsid w:val="001607F4"/>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3D2"/>
    <w:rsid w:val="0016583B"/>
    <w:rsid w:val="00165926"/>
    <w:rsid w:val="001659CE"/>
    <w:rsid w:val="00165AF2"/>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9D3"/>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76A"/>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6F1"/>
    <w:rsid w:val="00182725"/>
    <w:rsid w:val="0018293A"/>
    <w:rsid w:val="001829C8"/>
    <w:rsid w:val="00182BDD"/>
    <w:rsid w:val="00182CFA"/>
    <w:rsid w:val="00182D0C"/>
    <w:rsid w:val="0018362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494"/>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D95"/>
    <w:rsid w:val="00195EFA"/>
    <w:rsid w:val="001960C1"/>
    <w:rsid w:val="001960C3"/>
    <w:rsid w:val="0019616F"/>
    <w:rsid w:val="00196176"/>
    <w:rsid w:val="001962C1"/>
    <w:rsid w:val="00196426"/>
    <w:rsid w:val="001967DE"/>
    <w:rsid w:val="001967EC"/>
    <w:rsid w:val="00196BF4"/>
    <w:rsid w:val="001971D1"/>
    <w:rsid w:val="001972DA"/>
    <w:rsid w:val="001972EF"/>
    <w:rsid w:val="001976AA"/>
    <w:rsid w:val="001976AE"/>
    <w:rsid w:val="0019794C"/>
    <w:rsid w:val="001A0136"/>
    <w:rsid w:val="001A023D"/>
    <w:rsid w:val="001A02F6"/>
    <w:rsid w:val="001A038E"/>
    <w:rsid w:val="001A04C1"/>
    <w:rsid w:val="001A05F7"/>
    <w:rsid w:val="001A0835"/>
    <w:rsid w:val="001A08EC"/>
    <w:rsid w:val="001A0B4C"/>
    <w:rsid w:val="001A0C1D"/>
    <w:rsid w:val="001A0C63"/>
    <w:rsid w:val="001A10C5"/>
    <w:rsid w:val="001A115C"/>
    <w:rsid w:val="001A1381"/>
    <w:rsid w:val="001A154B"/>
    <w:rsid w:val="001A158A"/>
    <w:rsid w:val="001A15C6"/>
    <w:rsid w:val="001A17A0"/>
    <w:rsid w:val="001A22DF"/>
    <w:rsid w:val="001A2533"/>
    <w:rsid w:val="001A2666"/>
    <w:rsid w:val="001A2743"/>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D52"/>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0CA"/>
    <w:rsid w:val="001B34E0"/>
    <w:rsid w:val="001B352C"/>
    <w:rsid w:val="001B36FC"/>
    <w:rsid w:val="001B3743"/>
    <w:rsid w:val="001B383F"/>
    <w:rsid w:val="001B38EE"/>
    <w:rsid w:val="001B41ED"/>
    <w:rsid w:val="001B44BE"/>
    <w:rsid w:val="001B4607"/>
    <w:rsid w:val="001B4F51"/>
    <w:rsid w:val="001B5262"/>
    <w:rsid w:val="001B5D4D"/>
    <w:rsid w:val="001B604E"/>
    <w:rsid w:val="001B60C8"/>
    <w:rsid w:val="001B6C1A"/>
    <w:rsid w:val="001B6DDF"/>
    <w:rsid w:val="001B6E8B"/>
    <w:rsid w:val="001B72AA"/>
    <w:rsid w:val="001B75EE"/>
    <w:rsid w:val="001B7942"/>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A19"/>
    <w:rsid w:val="001C4D43"/>
    <w:rsid w:val="001C5296"/>
    <w:rsid w:val="001C589C"/>
    <w:rsid w:val="001C5F41"/>
    <w:rsid w:val="001C63BD"/>
    <w:rsid w:val="001C6495"/>
    <w:rsid w:val="001C65EA"/>
    <w:rsid w:val="001C66AC"/>
    <w:rsid w:val="001C6754"/>
    <w:rsid w:val="001C6758"/>
    <w:rsid w:val="001C67F3"/>
    <w:rsid w:val="001C68F5"/>
    <w:rsid w:val="001C6C24"/>
    <w:rsid w:val="001C6DDA"/>
    <w:rsid w:val="001C6E40"/>
    <w:rsid w:val="001C7307"/>
    <w:rsid w:val="001C73B6"/>
    <w:rsid w:val="001C73F4"/>
    <w:rsid w:val="001C7493"/>
    <w:rsid w:val="001C77F0"/>
    <w:rsid w:val="001D0002"/>
    <w:rsid w:val="001D04D0"/>
    <w:rsid w:val="001D0966"/>
    <w:rsid w:val="001D0C0A"/>
    <w:rsid w:val="001D10D6"/>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2D"/>
    <w:rsid w:val="001E13B3"/>
    <w:rsid w:val="001E1B07"/>
    <w:rsid w:val="001E1C85"/>
    <w:rsid w:val="001E1CC9"/>
    <w:rsid w:val="001E20CF"/>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8F7"/>
    <w:rsid w:val="001E7B9F"/>
    <w:rsid w:val="001E7F10"/>
    <w:rsid w:val="001E7F13"/>
    <w:rsid w:val="001F0080"/>
    <w:rsid w:val="001F00A4"/>
    <w:rsid w:val="001F01FB"/>
    <w:rsid w:val="001F0282"/>
    <w:rsid w:val="001F02A6"/>
    <w:rsid w:val="001F0492"/>
    <w:rsid w:val="001F0658"/>
    <w:rsid w:val="001F0C29"/>
    <w:rsid w:val="001F0E92"/>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EE2"/>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DC"/>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AD7"/>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542"/>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9E3"/>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3B6"/>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6B4"/>
    <w:rsid w:val="002759A2"/>
    <w:rsid w:val="00275ECF"/>
    <w:rsid w:val="00276045"/>
    <w:rsid w:val="002763E9"/>
    <w:rsid w:val="00276431"/>
    <w:rsid w:val="002764AD"/>
    <w:rsid w:val="00276736"/>
    <w:rsid w:val="00276CC7"/>
    <w:rsid w:val="00276F4E"/>
    <w:rsid w:val="0027773D"/>
    <w:rsid w:val="002778BD"/>
    <w:rsid w:val="002778F9"/>
    <w:rsid w:val="002779AB"/>
    <w:rsid w:val="00277B5E"/>
    <w:rsid w:val="00277EFF"/>
    <w:rsid w:val="00277FF5"/>
    <w:rsid w:val="00280323"/>
    <w:rsid w:val="00280421"/>
    <w:rsid w:val="002805FD"/>
    <w:rsid w:val="002809FA"/>
    <w:rsid w:val="00280CDB"/>
    <w:rsid w:val="002811B0"/>
    <w:rsid w:val="0028124C"/>
    <w:rsid w:val="002815FA"/>
    <w:rsid w:val="002819AC"/>
    <w:rsid w:val="002824C2"/>
    <w:rsid w:val="002825D6"/>
    <w:rsid w:val="00282AB3"/>
    <w:rsid w:val="00282EBF"/>
    <w:rsid w:val="00282FF0"/>
    <w:rsid w:val="002832E1"/>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0B6"/>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9E"/>
    <w:rsid w:val="002A13E9"/>
    <w:rsid w:val="002A1805"/>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BCF"/>
    <w:rsid w:val="002A607D"/>
    <w:rsid w:val="002A625E"/>
    <w:rsid w:val="002A6484"/>
    <w:rsid w:val="002A6587"/>
    <w:rsid w:val="002A666D"/>
    <w:rsid w:val="002A67C4"/>
    <w:rsid w:val="002A6982"/>
    <w:rsid w:val="002A6A06"/>
    <w:rsid w:val="002A6B2E"/>
    <w:rsid w:val="002A6E1A"/>
    <w:rsid w:val="002A74FB"/>
    <w:rsid w:val="002A788A"/>
    <w:rsid w:val="002A7945"/>
    <w:rsid w:val="002A7BAC"/>
    <w:rsid w:val="002B0E2F"/>
    <w:rsid w:val="002B132E"/>
    <w:rsid w:val="002B13F1"/>
    <w:rsid w:val="002B1499"/>
    <w:rsid w:val="002B16F3"/>
    <w:rsid w:val="002B180E"/>
    <w:rsid w:val="002B1861"/>
    <w:rsid w:val="002B18B3"/>
    <w:rsid w:val="002B216F"/>
    <w:rsid w:val="002B2642"/>
    <w:rsid w:val="002B2813"/>
    <w:rsid w:val="002B29AD"/>
    <w:rsid w:val="002B2A6B"/>
    <w:rsid w:val="002B2D29"/>
    <w:rsid w:val="002B2F4A"/>
    <w:rsid w:val="002B309E"/>
    <w:rsid w:val="002B3371"/>
    <w:rsid w:val="002B3699"/>
    <w:rsid w:val="002B3792"/>
    <w:rsid w:val="002B381C"/>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67C"/>
    <w:rsid w:val="002B5C31"/>
    <w:rsid w:val="002B5F5F"/>
    <w:rsid w:val="002B6201"/>
    <w:rsid w:val="002B647F"/>
    <w:rsid w:val="002B6556"/>
    <w:rsid w:val="002B661D"/>
    <w:rsid w:val="002B68E4"/>
    <w:rsid w:val="002B6C46"/>
    <w:rsid w:val="002B6E70"/>
    <w:rsid w:val="002B705B"/>
    <w:rsid w:val="002B751F"/>
    <w:rsid w:val="002B7806"/>
    <w:rsid w:val="002B7F5E"/>
    <w:rsid w:val="002C07FD"/>
    <w:rsid w:val="002C083A"/>
    <w:rsid w:val="002C0C4B"/>
    <w:rsid w:val="002C0CDF"/>
    <w:rsid w:val="002C1743"/>
    <w:rsid w:val="002C17EB"/>
    <w:rsid w:val="002C18B1"/>
    <w:rsid w:val="002C1E43"/>
    <w:rsid w:val="002C1EEA"/>
    <w:rsid w:val="002C1F00"/>
    <w:rsid w:val="002C204A"/>
    <w:rsid w:val="002C215A"/>
    <w:rsid w:val="002C2317"/>
    <w:rsid w:val="002C2738"/>
    <w:rsid w:val="002C2978"/>
    <w:rsid w:val="002C3049"/>
    <w:rsid w:val="002C31E0"/>
    <w:rsid w:val="002C32C8"/>
    <w:rsid w:val="002C38F1"/>
    <w:rsid w:val="002C39C5"/>
    <w:rsid w:val="002C3EA5"/>
    <w:rsid w:val="002C4647"/>
    <w:rsid w:val="002C47AD"/>
    <w:rsid w:val="002C4E55"/>
    <w:rsid w:val="002C53B1"/>
    <w:rsid w:val="002C5510"/>
    <w:rsid w:val="002C5FF7"/>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17C"/>
    <w:rsid w:val="002D031D"/>
    <w:rsid w:val="002D0561"/>
    <w:rsid w:val="002D0BC6"/>
    <w:rsid w:val="002D0CEA"/>
    <w:rsid w:val="002D12DB"/>
    <w:rsid w:val="002D17C5"/>
    <w:rsid w:val="002D18F0"/>
    <w:rsid w:val="002D211E"/>
    <w:rsid w:val="002D2803"/>
    <w:rsid w:val="002D2A60"/>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537"/>
    <w:rsid w:val="002D6679"/>
    <w:rsid w:val="002D6892"/>
    <w:rsid w:val="002D68C2"/>
    <w:rsid w:val="002D6F7E"/>
    <w:rsid w:val="002D719C"/>
    <w:rsid w:val="002D75C6"/>
    <w:rsid w:val="002D7C86"/>
    <w:rsid w:val="002D7DA0"/>
    <w:rsid w:val="002E03A3"/>
    <w:rsid w:val="002E0692"/>
    <w:rsid w:val="002E0748"/>
    <w:rsid w:val="002E0CD8"/>
    <w:rsid w:val="002E0F4F"/>
    <w:rsid w:val="002E1069"/>
    <w:rsid w:val="002E10AD"/>
    <w:rsid w:val="002E11EF"/>
    <w:rsid w:val="002E139D"/>
    <w:rsid w:val="002E152D"/>
    <w:rsid w:val="002E19AE"/>
    <w:rsid w:val="002E1B2C"/>
    <w:rsid w:val="002E1D74"/>
    <w:rsid w:val="002E217E"/>
    <w:rsid w:val="002E2371"/>
    <w:rsid w:val="002E25ED"/>
    <w:rsid w:val="002E2650"/>
    <w:rsid w:val="002E2824"/>
    <w:rsid w:val="002E2943"/>
    <w:rsid w:val="002E2BEE"/>
    <w:rsid w:val="002E2CF1"/>
    <w:rsid w:val="002E2DF2"/>
    <w:rsid w:val="002E2EA1"/>
    <w:rsid w:val="002E3220"/>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BF"/>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1436"/>
    <w:rsid w:val="0030144A"/>
    <w:rsid w:val="00301573"/>
    <w:rsid w:val="0030157C"/>
    <w:rsid w:val="00301813"/>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5F"/>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72"/>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0ECA"/>
    <w:rsid w:val="00321154"/>
    <w:rsid w:val="003211B0"/>
    <w:rsid w:val="00321252"/>
    <w:rsid w:val="003218B1"/>
    <w:rsid w:val="00321B2C"/>
    <w:rsid w:val="00321DB3"/>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CCC"/>
    <w:rsid w:val="00323D23"/>
    <w:rsid w:val="00323D73"/>
    <w:rsid w:val="003240C9"/>
    <w:rsid w:val="0032431A"/>
    <w:rsid w:val="00324628"/>
    <w:rsid w:val="00324842"/>
    <w:rsid w:val="003248C0"/>
    <w:rsid w:val="00324C76"/>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607"/>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71A"/>
    <w:rsid w:val="00341947"/>
    <w:rsid w:val="00341E60"/>
    <w:rsid w:val="0034213B"/>
    <w:rsid w:val="0034217F"/>
    <w:rsid w:val="00342761"/>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2B2"/>
    <w:rsid w:val="003475A3"/>
    <w:rsid w:val="00347998"/>
    <w:rsid w:val="00347BCF"/>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D29"/>
    <w:rsid w:val="00354FEE"/>
    <w:rsid w:val="003550F9"/>
    <w:rsid w:val="0035543D"/>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9FB"/>
    <w:rsid w:val="00357B9C"/>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30A"/>
    <w:rsid w:val="0036343F"/>
    <w:rsid w:val="003635F9"/>
    <w:rsid w:val="003637CE"/>
    <w:rsid w:val="00363849"/>
    <w:rsid w:val="003638AC"/>
    <w:rsid w:val="00363A3B"/>
    <w:rsid w:val="00363B2C"/>
    <w:rsid w:val="00363FEB"/>
    <w:rsid w:val="003642A6"/>
    <w:rsid w:val="0036458D"/>
    <w:rsid w:val="0036471A"/>
    <w:rsid w:val="00364724"/>
    <w:rsid w:val="00364763"/>
    <w:rsid w:val="00364829"/>
    <w:rsid w:val="00364A2B"/>
    <w:rsid w:val="00364AAE"/>
    <w:rsid w:val="00364ACE"/>
    <w:rsid w:val="00364C0B"/>
    <w:rsid w:val="00364FFA"/>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69D"/>
    <w:rsid w:val="00370939"/>
    <w:rsid w:val="00370B63"/>
    <w:rsid w:val="00370FCC"/>
    <w:rsid w:val="00371034"/>
    <w:rsid w:val="003711AF"/>
    <w:rsid w:val="0037129A"/>
    <w:rsid w:val="0037141C"/>
    <w:rsid w:val="00371753"/>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3F84"/>
    <w:rsid w:val="003740AC"/>
    <w:rsid w:val="00374542"/>
    <w:rsid w:val="00374817"/>
    <w:rsid w:val="00374848"/>
    <w:rsid w:val="00374AFD"/>
    <w:rsid w:val="00375437"/>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CD5"/>
    <w:rsid w:val="00377D61"/>
    <w:rsid w:val="00377DA1"/>
    <w:rsid w:val="00377EF6"/>
    <w:rsid w:val="00380059"/>
    <w:rsid w:val="00380750"/>
    <w:rsid w:val="00380AEF"/>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476"/>
    <w:rsid w:val="00382B3B"/>
    <w:rsid w:val="00382BDB"/>
    <w:rsid w:val="00382CDB"/>
    <w:rsid w:val="00382DB5"/>
    <w:rsid w:val="00382DBE"/>
    <w:rsid w:val="00382F1A"/>
    <w:rsid w:val="00382F9A"/>
    <w:rsid w:val="0038322C"/>
    <w:rsid w:val="00383282"/>
    <w:rsid w:val="00383422"/>
    <w:rsid w:val="00383522"/>
    <w:rsid w:val="00383658"/>
    <w:rsid w:val="00383845"/>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440"/>
    <w:rsid w:val="003906C6"/>
    <w:rsid w:val="003907B2"/>
    <w:rsid w:val="00390935"/>
    <w:rsid w:val="00390BB0"/>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6F1"/>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2D"/>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6DB8"/>
    <w:rsid w:val="003A6EEE"/>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02B"/>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FAA"/>
    <w:rsid w:val="003B5397"/>
    <w:rsid w:val="003B5404"/>
    <w:rsid w:val="003B547A"/>
    <w:rsid w:val="003B582B"/>
    <w:rsid w:val="003B5C3C"/>
    <w:rsid w:val="003B64E4"/>
    <w:rsid w:val="003B6598"/>
    <w:rsid w:val="003B65CC"/>
    <w:rsid w:val="003B6660"/>
    <w:rsid w:val="003B6EC0"/>
    <w:rsid w:val="003B6FE4"/>
    <w:rsid w:val="003B752A"/>
    <w:rsid w:val="003B75B9"/>
    <w:rsid w:val="003B7653"/>
    <w:rsid w:val="003B788A"/>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7B0"/>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0B2"/>
    <w:rsid w:val="003D31AE"/>
    <w:rsid w:val="003D31CC"/>
    <w:rsid w:val="003D3278"/>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BA"/>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64F"/>
    <w:rsid w:val="003E2A2D"/>
    <w:rsid w:val="003E3290"/>
    <w:rsid w:val="003E36BC"/>
    <w:rsid w:val="003E376D"/>
    <w:rsid w:val="003E3B9B"/>
    <w:rsid w:val="003E3E75"/>
    <w:rsid w:val="003E42B0"/>
    <w:rsid w:val="003E42BD"/>
    <w:rsid w:val="003E47D4"/>
    <w:rsid w:val="003E4A3D"/>
    <w:rsid w:val="003E4DED"/>
    <w:rsid w:val="003E50B9"/>
    <w:rsid w:val="003E50DF"/>
    <w:rsid w:val="003E5215"/>
    <w:rsid w:val="003E5485"/>
    <w:rsid w:val="003E54A1"/>
    <w:rsid w:val="003E5562"/>
    <w:rsid w:val="003E58AD"/>
    <w:rsid w:val="003E5998"/>
    <w:rsid w:val="003E59EB"/>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D0E"/>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4B5"/>
    <w:rsid w:val="003F458A"/>
    <w:rsid w:val="003F4B00"/>
    <w:rsid w:val="003F4B09"/>
    <w:rsid w:val="003F50FA"/>
    <w:rsid w:val="003F5190"/>
    <w:rsid w:val="003F53F8"/>
    <w:rsid w:val="003F5547"/>
    <w:rsid w:val="003F5688"/>
    <w:rsid w:val="003F574D"/>
    <w:rsid w:val="003F595A"/>
    <w:rsid w:val="003F5C40"/>
    <w:rsid w:val="003F62E1"/>
    <w:rsid w:val="003F63A6"/>
    <w:rsid w:val="003F66AF"/>
    <w:rsid w:val="003F6880"/>
    <w:rsid w:val="003F6E12"/>
    <w:rsid w:val="003F6E4F"/>
    <w:rsid w:val="003F6F8B"/>
    <w:rsid w:val="003F756C"/>
    <w:rsid w:val="003F756F"/>
    <w:rsid w:val="003F75ED"/>
    <w:rsid w:val="003F7777"/>
    <w:rsid w:val="003F797C"/>
    <w:rsid w:val="003F7BD7"/>
    <w:rsid w:val="00400297"/>
    <w:rsid w:val="004002B7"/>
    <w:rsid w:val="004005F1"/>
    <w:rsid w:val="00400732"/>
    <w:rsid w:val="00400A79"/>
    <w:rsid w:val="00400D3F"/>
    <w:rsid w:val="00400F31"/>
    <w:rsid w:val="00401918"/>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3D6"/>
    <w:rsid w:val="0041371D"/>
    <w:rsid w:val="00413857"/>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855"/>
    <w:rsid w:val="00416D44"/>
    <w:rsid w:val="00416EEB"/>
    <w:rsid w:val="0041700B"/>
    <w:rsid w:val="004170A5"/>
    <w:rsid w:val="00417106"/>
    <w:rsid w:val="004175C6"/>
    <w:rsid w:val="004176FF"/>
    <w:rsid w:val="00417823"/>
    <w:rsid w:val="00417A1E"/>
    <w:rsid w:val="004201E2"/>
    <w:rsid w:val="00420409"/>
    <w:rsid w:val="0042067D"/>
    <w:rsid w:val="0042068B"/>
    <w:rsid w:val="0042077D"/>
    <w:rsid w:val="004209E7"/>
    <w:rsid w:val="004209F5"/>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B43"/>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896"/>
    <w:rsid w:val="00441B92"/>
    <w:rsid w:val="00441D9E"/>
    <w:rsid w:val="0044208C"/>
    <w:rsid w:val="0044256D"/>
    <w:rsid w:val="00442657"/>
    <w:rsid w:val="004426D6"/>
    <w:rsid w:val="00442880"/>
    <w:rsid w:val="00442DB5"/>
    <w:rsid w:val="00442E60"/>
    <w:rsid w:val="0044330D"/>
    <w:rsid w:val="004435AD"/>
    <w:rsid w:val="00443A9F"/>
    <w:rsid w:val="00443C35"/>
    <w:rsid w:val="00443DE8"/>
    <w:rsid w:val="00444423"/>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0CB"/>
    <w:rsid w:val="004511FD"/>
    <w:rsid w:val="004514A9"/>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F9F"/>
    <w:rsid w:val="00465299"/>
    <w:rsid w:val="0046544B"/>
    <w:rsid w:val="00465487"/>
    <w:rsid w:val="004654A3"/>
    <w:rsid w:val="00465812"/>
    <w:rsid w:val="00465B2C"/>
    <w:rsid w:val="00465E99"/>
    <w:rsid w:val="00466132"/>
    <w:rsid w:val="0046662A"/>
    <w:rsid w:val="0046694B"/>
    <w:rsid w:val="00466A0F"/>
    <w:rsid w:val="00466D72"/>
    <w:rsid w:val="00467072"/>
    <w:rsid w:val="004673AB"/>
    <w:rsid w:val="00467509"/>
    <w:rsid w:val="0046766F"/>
    <w:rsid w:val="004676E9"/>
    <w:rsid w:val="0046795B"/>
    <w:rsid w:val="004701EF"/>
    <w:rsid w:val="00470767"/>
    <w:rsid w:val="004707D5"/>
    <w:rsid w:val="004708C0"/>
    <w:rsid w:val="004710B4"/>
    <w:rsid w:val="0047115F"/>
    <w:rsid w:val="004715CB"/>
    <w:rsid w:val="004715DF"/>
    <w:rsid w:val="00471806"/>
    <w:rsid w:val="00471863"/>
    <w:rsid w:val="0047194B"/>
    <w:rsid w:val="00471BCB"/>
    <w:rsid w:val="0047243C"/>
    <w:rsid w:val="004725AA"/>
    <w:rsid w:val="004729D9"/>
    <w:rsid w:val="00472E69"/>
    <w:rsid w:val="00472E88"/>
    <w:rsid w:val="004730D0"/>
    <w:rsid w:val="00473311"/>
    <w:rsid w:val="00473777"/>
    <w:rsid w:val="00473912"/>
    <w:rsid w:val="00473922"/>
    <w:rsid w:val="00473A14"/>
    <w:rsid w:val="00473BAE"/>
    <w:rsid w:val="00473D9F"/>
    <w:rsid w:val="00473E63"/>
    <w:rsid w:val="00474061"/>
    <w:rsid w:val="004745A9"/>
    <w:rsid w:val="00474871"/>
    <w:rsid w:val="00474BE5"/>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77D39"/>
    <w:rsid w:val="00477E94"/>
    <w:rsid w:val="004800A1"/>
    <w:rsid w:val="004800C9"/>
    <w:rsid w:val="0048014A"/>
    <w:rsid w:val="0048076D"/>
    <w:rsid w:val="00480C5C"/>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D4"/>
    <w:rsid w:val="00483261"/>
    <w:rsid w:val="0048328A"/>
    <w:rsid w:val="004832CE"/>
    <w:rsid w:val="00483391"/>
    <w:rsid w:val="00483A02"/>
    <w:rsid w:val="0048412E"/>
    <w:rsid w:val="00484377"/>
    <w:rsid w:val="00484644"/>
    <w:rsid w:val="00484CFF"/>
    <w:rsid w:val="00484EAD"/>
    <w:rsid w:val="00484EDD"/>
    <w:rsid w:val="00484F26"/>
    <w:rsid w:val="00485360"/>
    <w:rsid w:val="004859E1"/>
    <w:rsid w:val="00485B23"/>
    <w:rsid w:val="00485B50"/>
    <w:rsid w:val="00485BF0"/>
    <w:rsid w:val="00485C05"/>
    <w:rsid w:val="00485CCF"/>
    <w:rsid w:val="00485DAC"/>
    <w:rsid w:val="004863C1"/>
    <w:rsid w:val="00486656"/>
    <w:rsid w:val="004866CF"/>
    <w:rsid w:val="0048680C"/>
    <w:rsid w:val="00486FB8"/>
    <w:rsid w:val="00487058"/>
    <w:rsid w:val="00487485"/>
    <w:rsid w:val="004874E4"/>
    <w:rsid w:val="00487F98"/>
    <w:rsid w:val="00490046"/>
    <w:rsid w:val="00490511"/>
    <w:rsid w:val="0049070D"/>
    <w:rsid w:val="004909D4"/>
    <w:rsid w:val="00490A39"/>
    <w:rsid w:val="00490E82"/>
    <w:rsid w:val="00490FA1"/>
    <w:rsid w:val="00491823"/>
    <w:rsid w:val="00491A41"/>
    <w:rsid w:val="00491B04"/>
    <w:rsid w:val="00491BE4"/>
    <w:rsid w:val="00491CD4"/>
    <w:rsid w:val="00491DB2"/>
    <w:rsid w:val="0049218E"/>
    <w:rsid w:val="004922D8"/>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81"/>
    <w:rsid w:val="00494446"/>
    <w:rsid w:val="004949C6"/>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B0BA7"/>
    <w:rsid w:val="004B0D36"/>
    <w:rsid w:val="004B1612"/>
    <w:rsid w:val="004B1B43"/>
    <w:rsid w:val="004B1FF4"/>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C6E"/>
    <w:rsid w:val="004B71D5"/>
    <w:rsid w:val="004B7455"/>
    <w:rsid w:val="004B74FF"/>
    <w:rsid w:val="004B76C9"/>
    <w:rsid w:val="004B771C"/>
    <w:rsid w:val="004B784D"/>
    <w:rsid w:val="004B7A28"/>
    <w:rsid w:val="004B7BEF"/>
    <w:rsid w:val="004B7CE4"/>
    <w:rsid w:val="004B7D22"/>
    <w:rsid w:val="004B7ECA"/>
    <w:rsid w:val="004C0005"/>
    <w:rsid w:val="004C0100"/>
    <w:rsid w:val="004C0401"/>
    <w:rsid w:val="004C07F1"/>
    <w:rsid w:val="004C090A"/>
    <w:rsid w:val="004C0AD3"/>
    <w:rsid w:val="004C0C49"/>
    <w:rsid w:val="004C0D79"/>
    <w:rsid w:val="004C0DA9"/>
    <w:rsid w:val="004C108C"/>
    <w:rsid w:val="004C1096"/>
    <w:rsid w:val="004C1127"/>
    <w:rsid w:val="004C127B"/>
    <w:rsid w:val="004C177A"/>
    <w:rsid w:val="004C183D"/>
    <w:rsid w:val="004C19C1"/>
    <w:rsid w:val="004C1E2D"/>
    <w:rsid w:val="004C228A"/>
    <w:rsid w:val="004C2805"/>
    <w:rsid w:val="004C296E"/>
    <w:rsid w:val="004C2B19"/>
    <w:rsid w:val="004C31CF"/>
    <w:rsid w:val="004C3591"/>
    <w:rsid w:val="004C3770"/>
    <w:rsid w:val="004C394F"/>
    <w:rsid w:val="004C3A48"/>
    <w:rsid w:val="004C3EC7"/>
    <w:rsid w:val="004C3EE7"/>
    <w:rsid w:val="004C3EEE"/>
    <w:rsid w:val="004C404A"/>
    <w:rsid w:val="004C40A5"/>
    <w:rsid w:val="004C4564"/>
    <w:rsid w:val="004C483D"/>
    <w:rsid w:val="004C49EA"/>
    <w:rsid w:val="004C49FB"/>
    <w:rsid w:val="004C4D15"/>
    <w:rsid w:val="004C4DBC"/>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4CB"/>
    <w:rsid w:val="004D2629"/>
    <w:rsid w:val="004D26B8"/>
    <w:rsid w:val="004D29C4"/>
    <w:rsid w:val="004D2A22"/>
    <w:rsid w:val="004D2B3A"/>
    <w:rsid w:val="004D2C2C"/>
    <w:rsid w:val="004D2D8D"/>
    <w:rsid w:val="004D38C2"/>
    <w:rsid w:val="004D39BA"/>
    <w:rsid w:val="004D41DC"/>
    <w:rsid w:val="004D429D"/>
    <w:rsid w:val="004D4EF9"/>
    <w:rsid w:val="004D4FBD"/>
    <w:rsid w:val="004D4FC0"/>
    <w:rsid w:val="004D537E"/>
    <w:rsid w:val="004D5464"/>
    <w:rsid w:val="004D55A4"/>
    <w:rsid w:val="004D571D"/>
    <w:rsid w:val="004D5CE7"/>
    <w:rsid w:val="004D5DB4"/>
    <w:rsid w:val="004D5DE2"/>
    <w:rsid w:val="004D5DF7"/>
    <w:rsid w:val="004D5F76"/>
    <w:rsid w:val="004D5FC9"/>
    <w:rsid w:val="004D6381"/>
    <w:rsid w:val="004D63B7"/>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165"/>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9A1"/>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62C"/>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511A"/>
    <w:rsid w:val="004F5154"/>
    <w:rsid w:val="004F5835"/>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6BA"/>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07F16"/>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2FA"/>
    <w:rsid w:val="005146E7"/>
    <w:rsid w:val="005148D4"/>
    <w:rsid w:val="00514A99"/>
    <w:rsid w:val="00514C91"/>
    <w:rsid w:val="005153CE"/>
    <w:rsid w:val="00515404"/>
    <w:rsid w:val="00515513"/>
    <w:rsid w:val="00515565"/>
    <w:rsid w:val="00515B7A"/>
    <w:rsid w:val="00515DC1"/>
    <w:rsid w:val="00515ECA"/>
    <w:rsid w:val="00516198"/>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2FAA"/>
    <w:rsid w:val="00523258"/>
    <w:rsid w:val="00523712"/>
    <w:rsid w:val="00523AF6"/>
    <w:rsid w:val="00523DC5"/>
    <w:rsid w:val="00523E75"/>
    <w:rsid w:val="005240B4"/>
    <w:rsid w:val="0052410D"/>
    <w:rsid w:val="00524144"/>
    <w:rsid w:val="0052435E"/>
    <w:rsid w:val="005243E0"/>
    <w:rsid w:val="00524CDE"/>
    <w:rsid w:val="00524E59"/>
    <w:rsid w:val="00525303"/>
    <w:rsid w:val="0052532F"/>
    <w:rsid w:val="00525565"/>
    <w:rsid w:val="005256F3"/>
    <w:rsid w:val="00525797"/>
    <w:rsid w:val="005257FC"/>
    <w:rsid w:val="00525A26"/>
    <w:rsid w:val="00525B71"/>
    <w:rsid w:val="00525DD0"/>
    <w:rsid w:val="005265A3"/>
    <w:rsid w:val="00526714"/>
    <w:rsid w:val="00526783"/>
    <w:rsid w:val="00526FBE"/>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5A64"/>
    <w:rsid w:val="00545CAF"/>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4D3"/>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3FCC"/>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1BD9"/>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DC2"/>
    <w:rsid w:val="00574EFF"/>
    <w:rsid w:val="00575DF4"/>
    <w:rsid w:val="00575F7F"/>
    <w:rsid w:val="005763DE"/>
    <w:rsid w:val="00576492"/>
    <w:rsid w:val="005764CD"/>
    <w:rsid w:val="005765F8"/>
    <w:rsid w:val="00576645"/>
    <w:rsid w:val="00576C8A"/>
    <w:rsid w:val="00576FE7"/>
    <w:rsid w:val="005772B8"/>
    <w:rsid w:val="005772ED"/>
    <w:rsid w:val="00577579"/>
    <w:rsid w:val="00577649"/>
    <w:rsid w:val="00577835"/>
    <w:rsid w:val="00577995"/>
    <w:rsid w:val="00577CF8"/>
    <w:rsid w:val="005801A3"/>
    <w:rsid w:val="00580269"/>
    <w:rsid w:val="00580793"/>
    <w:rsid w:val="005807C1"/>
    <w:rsid w:val="005809BD"/>
    <w:rsid w:val="00580BC3"/>
    <w:rsid w:val="00580E28"/>
    <w:rsid w:val="00580EB9"/>
    <w:rsid w:val="00580FE3"/>
    <w:rsid w:val="00581391"/>
    <w:rsid w:val="00581470"/>
    <w:rsid w:val="005816E6"/>
    <w:rsid w:val="00581B04"/>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C94"/>
    <w:rsid w:val="00583F2E"/>
    <w:rsid w:val="005840E1"/>
    <w:rsid w:val="00584320"/>
    <w:rsid w:val="005844B5"/>
    <w:rsid w:val="00584A12"/>
    <w:rsid w:val="00584ABA"/>
    <w:rsid w:val="00584CB8"/>
    <w:rsid w:val="00585484"/>
    <w:rsid w:val="00585677"/>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4120"/>
    <w:rsid w:val="005941EF"/>
    <w:rsid w:val="00594399"/>
    <w:rsid w:val="005944E5"/>
    <w:rsid w:val="005944E8"/>
    <w:rsid w:val="00594560"/>
    <w:rsid w:val="00594842"/>
    <w:rsid w:val="005949A3"/>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0EE"/>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0F"/>
    <w:rsid w:val="005B4F46"/>
    <w:rsid w:val="005B5101"/>
    <w:rsid w:val="005B52B3"/>
    <w:rsid w:val="005B53EB"/>
    <w:rsid w:val="005B54DE"/>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AAA"/>
    <w:rsid w:val="005C3CE0"/>
    <w:rsid w:val="005C3E4C"/>
    <w:rsid w:val="005C43B1"/>
    <w:rsid w:val="005C4482"/>
    <w:rsid w:val="005C472F"/>
    <w:rsid w:val="005C499F"/>
    <w:rsid w:val="005C4BFB"/>
    <w:rsid w:val="005C4C4D"/>
    <w:rsid w:val="005C4F12"/>
    <w:rsid w:val="005C4FAE"/>
    <w:rsid w:val="005C518A"/>
    <w:rsid w:val="005C52EF"/>
    <w:rsid w:val="005C55F8"/>
    <w:rsid w:val="005C5870"/>
    <w:rsid w:val="005C5982"/>
    <w:rsid w:val="005C5A52"/>
    <w:rsid w:val="005C5AA4"/>
    <w:rsid w:val="005C5B81"/>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BD8"/>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F6B"/>
    <w:rsid w:val="005D5FDF"/>
    <w:rsid w:val="005D6554"/>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B0E"/>
    <w:rsid w:val="005F2C3A"/>
    <w:rsid w:val="005F35BB"/>
    <w:rsid w:val="005F3C8B"/>
    <w:rsid w:val="005F3F16"/>
    <w:rsid w:val="005F40A1"/>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740"/>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8A2"/>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E78"/>
    <w:rsid w:val="00611EA6"/>
    <w:rsid w:val="00611F59"/>
    <w:rsid w:val="00612162"/>
    <w:rsid w:val="00612248"/>
    <w:rsid w:val="006122EB"/>
    <w:rsid w:val="00612878"/>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A70"/>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25B8"/>
    <w:rsid w:val="006228DE"/>
    <w:rsid w:val="00622907"/>
    <w:rsid w:val="006229D6"/>
    <w:rsid w:val="00622A16"/>
    <w:rsid w:val="00622A84"/>
    <w:rsid w:val="00622CDC"/>
    <w:rsid w:val="00622D09"/>
    <w:rsid w:val="00622E6F"/>
    <w:rsid w:val="00622F2B"/>
    <w:rsid w:val="00623121"/>
    <w:rsid w:val="00623583"/>
    <w:rsid w:val="00623CED"/>
    <w:rsid w:val="00623CF0"/>
    <w:rsid w:val="00624091"/>
    <w:rsid w:val="006245E4"/>
    <w:rsid w:val="0062462F"/>
    <w:rsid w:val="00624BA1"/>
    <w:rsid w:val="00624EDF"/>
    <w:rsid w:val="006252D3"/>
    <w:rsid w:val="0062557C"/>
    <w:rsid w:val="00625736"/>
    <w:rsid w:val="00625AF2"/>
    <w:rsid w:val="00626598"/>
    <w:rsid w:val="006265CF"/>
    <w:rsid w:val="0062661B"/>
    <w:rsid w:val="00626691"/>
    <w:rsid w:val="006268CB"/>
    <w:rsid w:val="0062697B"/>
    <w:rsid w:val="00626EF4"/>
    <w:rsid w:val="006270F0"/>
    <w:rsid w:val="006271BB"/>
    <w:rsid w:val="00627221"/>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C8"/>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698"/>
    <w:rsid w:val="0063671C"/>
    <w:rsid w:val="0063687E"/>
    <w:rsid w:val="00636900"/>
    <w:rsid w:val="006369A9"/>
    <w:rsid w:val="006370BA"/>
    <w:rsid w:val="006370C1"/>
    <w:rsid w:val="006373CD"/>
    <w:rsid w:val="00637773"/>
    <w:rsid w:val="00640EC6"/>
    <w:rsid w:val="00641004"/>
    <w:rsid w:val="006411DC"/>
    <w:rsid w:val="00641283"/>
    <w:rsid w:val="00641315"/>
    <w:rsid w:val="0064133E"/>
    <w:rsid w:val="006413CF"/>
    <w:rsid w:val="00641413"/>
    <w:rsid w:val="00641465"/>
    <w:rsid w:val="0064165D"/>
    <w:rsid w:val="00641957"/>
    <w:rsid w:val="00641C18"/>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C9F"/>
    <w:rsid w:val="00646156"/>
    <w:rsid w:val="00646214"/>
    <w:rsid w:val="00646287"/>
    <w:rsid w:val="00646305"/>
    <w:rsid w:val="006463C8"/>
    <w:rsid w:val="006464DB"/>
    <w:rsid w:val="00646864"/>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991"/>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5"/>
    <w:rsid w:val="006608D6"/>
    <w:rsid w:val="00660AD2"/>
    <w:rsid w:val="00660ADF"/>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6E8"/>
    <w:rsid w:val="00687887"/>
    <w:rsid w:val="006879F1"/>
    <w:rsid w:val="00687AC8"/>
    <w:rsid w:val="00687C7A"/>
    <w:rsid w:val="00687DE9"/>
    <w:rsid w:val="00687FFA"/>
    <w:rsid w:val="006904ED"/>
    <w:rsid w:val="006907E0"/>
    <w:rsid w:val="00690BDC"/>
    <w:rsid w:val="00690C31"/>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413"/>
    <w:rsid w:val="006946B7"/>
    <w:rsid w:val="0069484B"/>
    <w:rsid w:val="006948EF"/>
    <w:rsid w:val="00694970"/>
    <w:rsid w:val="00694A33"/>
    <w:rsid w:val="00694C5C"/>
    <w:rsid w:val="00694D35"/>
    <w:rsid w:val="00695880"/>
    <w:rsid w:val="0069597A"/>
    <w:rsid w:val="00695EF4"/>
    <w:rsid w:val="00696134"/>
    <w:rsid w:val="00696C90"/>
    <w:rsid w:val="00696D63"/>
    <w:rsid w:val="00696D8E"/>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A17"/>
    <w:rsid w:val="006A1BEB"/>
    <w:rsid w:val="006A1C0B"/>
    <w:rsid w:val="006A1D27"/>
    <w:rsid w:val="006A1E26"/>
    <w:rsid w:val="006A1F35"/>
    <w:rsid w:val="006A2171"/>
    <w:rsid w:val="006A2349"/>
    <w:rsid w:val="006A2D61"/>
    <w:rsid w:val="006A2FD0"/>
    <w:rsid w:val="006A3022"/>
    <w:rsid w:val="006A3278"/>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4F3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3D"/>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719F"/>
    <w:rsid w:val="006B733C"/>
    <w:rsid w:val="006B73AA"/>
    <w:rsid w:val="006B7425"/>
    <w:rsid w:val="006B782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3CA"/>
    <w:rsid w:val="006C278F"/>
    <w:rsid w:val="006C2C2A"/>
    <w:rsid w:val="006C3061"/>
    <w:rsid w:val="006C3A73"/>
    <w:rsid w:val="006C3AB0"/>
    <w:rsid w:val="006C3D84"/>
    <w:rsid w:val="006C4199"/>
    <w:rsid w:val="006C4751"/>
    <w:rsid w:val="006C48DE"/>
    <w:rsid w:val="006C4BE3"/>
    <w:rsid w:val="006C4E32"/>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38"/>
    <w:rsid w:val="006C7F51"/>
    <w:rsid w:val="006C7F98"/>
    <w:rsid w:val="006D02E5"/>
    <w:rsid w:val="006D0384"/>
    <w:rsid w:val="006D04F7"/>
    <w:rsid w:val="006D07C1"/>
    <w:rsid w:val="006D0826"/>
    <w:rsid w:val="006D08D9"/>
    <w:rsid w:val="006D0913"/>
    <w:rsid w:val="006D0C12"/>
    <w:rsid w:val="006D0E6B"/>
    <w:rsid w:val="006D110C"/>
    <w:rsid w:val="006D13D5"/>
    <w:rsid w:val="006D2146"/>
    <w:rsid w:val="006D268A"/>
    <w:rsid w:val="006D26F1"/>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0A07"/>
    <w:rsid w:val="006E105D"/>
    <w:rsid w:val="006E11CC"/>
    <w:rsid w:val="006E12B1"/>
    <w:rsid w:val="006E13D1"/>
    <w:rsid w:val="006E1D9D"/>
    <w:rsid w:val="006E2057"/>
    <w:rsid w:val="006E25E0"/>
    <w:rsid w:val="006E285B"/>
    <w:rsid w:val="006E3171"/>
    <w:rsid w:val="006E340D"/>
    <w:rsid w:val="006E3AEE"/>
    <w:rsid w:val="006E402B"/>
    <w:rsid w:val="006E4189"/>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8E6"/>
    <w:rsid w:val="006E699D"/>
    <w:rsid w:val="006E6AD6"/>
    <w:rsid w:val="006E6BA3"/>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3BD"/>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6753"/>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495"/>
    <w:rsid w:val="007047AF"/>
    <w:rsid w:val="00704A10"/>
    <w:rsid w:val="00704E0B"/>
    <w:rsid w:val="00704E2C"/>
    <w:rsid w:val="00704ECE"/>
    <w:rsid w:val="007050F9"/>
    <w:rsid w:val="007053CB"/>
    <w:rsid w:val="007055F0"/>
    <w:rsid w:val="007057CB"/>
    <w:rsid w:val="00705ABC"/>
    <w:rsid w:val="00705B6C"/>
    <w:rsid w:val="0070607B"/>
    <w:rsid w:val="007068EE"/>
    <w:rsid w:val="00706FD4"/>
    <w:rsid w:val="0070701E"/>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713"/>
    <w:rsid w:val="00712CEC"/>
    <w:rsid w:val="00712CEE"/>
    <w:rsid w:val="00712EDA"/>
    <w:rsid w:val="007131BD"/>
    <w:rsid w:val="007134EA"/>
    <w:rsid w:val="00713595"/>
    <w:rsid w:val="007136D0"/>
    <w:rsid w:val="00713809"/>
    <w:rsid w:val="00713BD9"/>
    <w:rsid w:val="00713F75"/>
    <w:rsid w:val="00713F82"/>
    <w:rsid w:val="00713FEB"/>
    <w:rsid w:val="00714020"/>
    <w:rsid w:val="0071445C"/>
    <w:rsid w:val="00714528"/>
    <w:rsid w:val="00714C73"/>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18D"/>
    <w:rsid w:val="0072121C"/>
    <w:rsid w:val="00721491"/>
    <w:rsid w:val="007219DB"/>
    <w:rsid w:val="00721E13"/>
    <w:rsid w:val="00721EB8"/>
    <w:rsid w:val="00721FE4"/>
    <w:rsid w:val="00722209"/>
    <w:rsid w:val="00722827"/>
    <w:rsid w:val="0072284A"/>
    <w:rsid w:val="00722E66"/>
    <w:rsid w:val="00722E67"/>
    <w:rsid w:val="00723066"/>
    <w:rsid w:val="00723595"/>
    <w:rsid w:val="007236A3"/>
    <w:rsid w:val="007239B6"/>
    <w:rsid w:val="00723F36"/>
    <w:rsid w:val="0072403D"/>
    <w:rsid w:val="0072417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A7F"/>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0B9"/>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CC4"/>
    <w:rsid w:val="00733DF4"/>
    <w:rsid w:val="00734949"/>
    <w:rsid w:val="00734A05"/>
    <w:rsid w:val="00734ECC"/>
    <w:rsid w:val="00735304"/>
    <w:rsid w:val="007353F4"/>
    <w:rsid w:val="00735807"/>
    <w:rsid w:val="007359A4"/>
    <w:rsid w:val="00735C29"/>
    <w:rsid w:val="00735C63"/>
    <w:rsid w:val="00735C6F"/>
    <w:rsid w:val="00735D1E"/>
    <w:rsid w:val="00735D7B"/>
    <w:rsid w:val="00736537"/>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C82"/>
    <w:rsid w:val="00743E20"/>
    <w:rsid w:val="00744468"/>
    <w:rsid w:val="0074464C"/>
    <w:rsid w:val="0074467D"/>
    <w:rsid w:val="007446AD"/>
    <w:rsid w:val="00744E67"/>
    <w:rsid w:val="00744EC0"/>
    <w:rsid w:val="00745210"/>
    <w:rsid w:val="007454B4"/>
    <w:rsid w:val="007454ED"/>
    <w:rsid w:val="0074569B"/>
    <w:rsid w:val="00745D56"/>
    <w:rsid w:val="007463DE"/>
    <w:rsid w:val="0074656E"/>
    <w:rsid w:val="007466F7"/>
    <w:rsid w:val="00746904"/>
    <w:rsid w:val="00746A8E"/>
    <w:rsid w:val="00746B1A"/>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74CB"/>
    <w:rsid w:val="00757820"/>
    <w:rsid w:val="00757AC3"/>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4C3"/>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863"/>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4AD"/>
    <w:rsid w:val="0077163C"/>
    <w:rsid w:val="00771693"/>
    <w:rsid w:val="00771EC4"/>
    <w:rsid w:val="00771F21"/>
    <w:rsid w:val="00771FDD"/>
    <w:rsid w:val="00772569"/>
    <w:rsid w:val="0077286D"/>
    <w:rsid w:val="00772AA3"/>
    <w:rsid w:val="00772C13"/>
    <w:rsid w:val="00772C79"/>
    <w:rsid w:val="00772E8C"/>
    <w:rsid w:val="00772F42"/>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2F36"/>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A85"/>
    <w:rsid w:val="00786DF3"/>
    <w:rsid w:val="00786F6F"/>
    <w:rsid w:val="00787051"/>
    <w:rsid w:val="00787148"/>
    <w:rsid w:val="00787697"/>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01C"/>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CB4"/>
    <w:rsid w:val="007A1F45"/>
    <w:rsid w:val="007A1F71"/>
    <w:rsid w:val="007A1F80"/>
    <w:rsid w:val="007A2541"/>
    <w:rsid w:val="007A2589"/>
    <w:rsid w:val="007A27DB"/>
    <w:rsid w:val="007A2964"/>
    <w:rsid w:val="007A2AEB"/>
    <w:rsid w:val="007A2B9E"/>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0CD"/>
    <w:rsid w:val="007A52FB"/>
    <w:rsid w:val="007A53F4"/>
    <w:rsid w:val="007A5802"/>
    <w:rsid w:val="007A594C"/>
    <w:rsid w:val="007A5A3F"/>
    <w:rsid w:val="007A61A5"/>
    <w:rsid w:val="007A645F"/>
    <w:rsid w:val="007A651C"/>
    <w:rsid w:val="007A6654"/>
    <w:rsid w:val="007A67BA"/>
    <w:rsid w:val="007A6892"/>
    <w:rsid w:val="007A68FC"/>
    <w:rsid w:val="007A6902"/>
    <w:rsid w:val="007A6CED"/>
    <w:rsid w:val="007A6CFD"/>
    <w:rsid w:val="007A72EE"/>
    <w:rsid w:val="007A7379"/>
    <w:rsid w:val="007A7585"/>
    <w:rsid w:val="007A7717"/>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98F"/>
    <w:rsid w:val="007B2AC9"/>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CA"/>
    <w:rsid w:val="007C3B68"/>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086"/>
    <w:rsid w:val="007C6618"/>
    <w:rsid w:val="007C6654"/>
    <w:rsid w:val="007C669F"/>
    <w:rsid w:val="007C6C16"/>
    <w:rsid w:val="007C6C4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972"/>
    <w:rsid w:val="007D1F33"/>
    <w:rsid w:val="007D2351"/>
    <w:rsid w:val="007D23E8"/>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603"/>
    <w:rsid w:val="007D5E27"/>
    <w:rsid w:val="007D640D"/>
    <w:rsid w:val="007D698A"/>
    <w:rsid w:val="007D69DD"/>
    <w:rsid w:val="007D6AB0"/>
    <w:rsid w:val="007D6F64"/>
    <w:rsid w:val="007D6FC2"/>
    <w:rsid w:val="007D705C"/>
    <w:rsid w:val="007D70A8"/>
    <w:rsid w:val="007D71C5"/>
    <w:rsid w:val="007D72C8"/>
    <w:rsid w:val="007D72EB"/>
    <w:rsid w:val="007D7476"/>
    <w:rsid w:val="007D7756"/>
    <w:rsid w:val="007D7F49"/>
    <w:rsid w:val="007E06FC"/>
    <w:rsid w:val="007E0F09"/>
    <w:rsid w:val="007E109F"/>
    <w:rsid w:val="007E1139"/>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AC"/>
    <w:rsid w:val="007E63E7"/>
    <w:rsid w:val="007E6836"/>
    <w:rsid w:val="007E6DD0"/>
    <w:rsid w:val="007E729C"/>
    <w:rsid w:val="007E7742"/>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68"/>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56DE"/>
    <w:rsid w:val="007F5BFA"/>
    <w:rsid w:val="007F6144"/>
    <w:rsid w:val="007F6294"/>
    <w:rsid w:val="007F6526"/>
    <w:rsid w:val="007F6955"/>
    <w:rsid w:val="007F6AE2"/>
    <w:rsid w:val="007F6DB4"/>
    <w:rsid w:val="007F72CB"/>
    <w:rsid w:val="007F74FF"/>
    <w:rsid w:val="007F7623"/>
    <w:rsid w:val="007F7A92"/>
    <w:rsid w:val="007F7F6D"/>
    <w:rsid w:val="007F7F96"/>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BBF"/>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094"/>
    <w:rsid w:val="0081222F"/>
    <w:rsid w:val="008122D2"/>
    <w:rsid w:val="008123B5"/>
    <w:rsid w:val="00812498"/>
    <w:rsid w:val="008127E6"/>
    <w:rsid w:val="00812988"/>
    <w:rsid w:val="00812B8B"/>
    <w:rsid w:val="0081320A"/>
    <w:rsid w:val="0081336E"/>
    <w:rsid w:val="00813469"/>
    <w:rsid w:val="008134F0"/>
    <w:rsid w:val="00813557"/>
    <w:rsid w:val="008136E6"/>
    <w:rsid w:val="00813784"/>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1F"/>
    <w:rsid w:val="00815C69"/>
    <w:rsid w:val="00815EDC"/>
    <w:rsid w:val="008163CE"/>
    <w:rsid w:val="008165D1"/>
    <w:rsid w:val="008168D9"/>
    <w:rsid w:val="00816978"/>
    <w:rsid w:val="00817192"/>
    <w:rsid w:val="00817635"/>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176"/>
    <w:rsid w:val="008237FE"/>
    <w:rsid w:val="00823ACB"/>
    <w:rsid w:val="00823BE6"/>
    <w:rsid w:val="00823EFA"/>
    <w:rsid w:val="00823F67"/>
    <w:rsid w:val="00823F72"/>
    <w:rsid w:val="00823FA8"/>
    <w:rsid w:val="008240C8"/>
    <w:rsid w:val="0082410B"/>
    <w:rsid w:val="008247CF"/>
    <w:rsid w:val="00824894"/>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CAB"/>
    <w:rsid w:val="00831E18"/>
    <w:rsid w:val="00831F6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78E"/>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BC5"/>
    <w:rsid w:val="00841F9F"/>
    <w:rsid w:val="008420A0"/>
    <w:rsid w:val="0084239E"/>
    <w:rsid w:val="0084260C"/>
    <w:rsid w:val="008429BB"/>
    <w:rsid w:val="00842A43"/>
    <w:rsid w:val="00842AE8"/>
    <w:rsid w:val="00842E0C"/>
    <w:rsid w:val="00843230"/>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5E77"/>
    <w:rsid w:val="00846196"/>
    <w:rsid w:val="00846292"/>
    <w:rsid w:val="008464A2"/>
    <w:rsid w:val="008465DF"/>
    <w:rsid w:val="0084683F"/>
    <w:rsid w:val="00846AAC"/>
    <w:rsid w:val="00846B5B"/>
    <w:rsid w:val="00847208"/>
    <w:rsid w:val="0084748E"/>
    <w:rsid w:val="00847C7A"/>
    <w:rsid w:val="0085040E"/>
    <w:rsid w:val="008506E1"/>
    <w:rsid w:val="0085073E"/>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3FCF"/>
    <w:rsid w:val="008542CD"/>
    <w:rsid w:val="008542E2"/>
    <w:rsid w:val="00854553"/>
    <w:rsid w:val="008549B1"/>
    <w:rsid w:val="00854B0B"/>
    <w:rsid w:val="00854C65"/>
    <w:rsid w:val="00854E0F"/>
    <w:rsid w:val="00854EBB"/>
    <w:rsid w:val="00854EBC"/>
    <w:rsid w:val="00854F07"/>
    <w:rsid w:val="00855078"/>
    <w:rsid w:val="00855330"/>
    <w:rsid w:val="008555E0"/>
    <w:rsid w:val="00855618"/>
    <w:rsid w:val="0085583E"/>
    <w:rsid w:val="0085584F"/>
    <w:rsid w:val="00855B86"/>
    <w:rsid w:val="00855DF3"/>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F2F"/>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D00"/>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336"/>
    <w:rsid w:val="00867594"/>
    <w:rsid w:val="00867651"/>
    <w:rsid w:val="00867787"/>
    <w:rsid w:val="00867B5A"/>
    <w:rsid w:val="00867CA8"/>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410"/>
    <w:rsid w:val="00875439"/>
    <w:rsid w:val="00875BB5"/>
    <w:rsid w:val="00875C80"/>
    <w:rsid w:val="00875D5A"/>
    <w:rsid w:val="00876A4D"/>
    <w:rsid w:val="00876B75"/>
    <w:rsid w:val="00876E14"/>
    <w:rsid w:val="00876F6A"/>
    <w:rsid w:val="0087706A"/>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A88"/>
    <w:rsid w:val="00882C1A"/>
    <w:rsid w:val="00882D78"/>
    <w:rsid w:val="00882DE6"/>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6EE1"/>
    <w:rsid w:val="00887011"/>
    <w:rsid w:val="008870AD"/>
    <w:rsid w:val="008870E8"/>
    <w:rsid w:val="008875FA"/>
    <w:rsid w:val="00887A58"/>
    <w:rsid w:val="00887ADC"/>
    <w:rsid w:val="00887E1E"/>
    <w:rsid w:val="00887F05"/>
    <w:rsid w:val="00890478"/>
    <w:rsid w:val="008908E5"/>
    <w:rsid w:val="00890A88"/>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53D"/>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5F2C"/>
    <w:rsid w:val="00896394"/>
    <w:rsid w:val="00896414"/>
    <w:rsid w:val="00896F04"/>
    <w:rsid w:val="0089716F"/>
    <w:rsid w:val="00897768"/>
    <w:rsid w:val="00897C71"/>
    <w:rsid w:val="00897DB1"/>
    <w:rsid w:val="008A02EE"/>
    <w:rsid w:val="008A0437"/>
    <w:rsid w:val="008A04F5"/>
    <w:rsid w:val="008A0551"/>
    <w:rsid w:val="008A063F"/>
    <w:rsid w:val="008A077D"/>
    <w:rsid w:val="008A07A5"/>
    <w:rsid w:val="008A0BDF"/>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B00F3"/>
    <w:rsid w:val="008B033B"/>
    <w:rsid w:val="008B0477"/>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87F"/>
    <w:rsid w:val="008B2AF1"/>
    <w:rsid w:val="008B2B07"/>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8B0"/>
    <w:rsid w:val="008B59B7"/>
    <w:rsid w:val="008B5EC8"/>
    <w:rsid w:val="008B639F"/>
    <w:rsid w:val="008B6A40"/>
    <w:rsid w:val="008B72EC"/>
    <w:rsid w:val="008B75EC"/>
    <w:rsid w:val="008B761E"/>
    <w:rsid w:val="008B7663"/>
    <w:rsid w:val="008C04A2"/>
    <w:rsid w:val="008C04DC"/>
    <w:rsid w:val="008C09D1"/>
    <w:rsid w:val="008C11CB"/>
    <w:rsid w:val="008C1246"/>
    <w:rsid w:val="008C1399"/>
    <w:rsid w:val="008C1716"/>
    <w:rsid w:val="008C18E9"/>
    <w:rsid w:val="008C18EE"/>
    <w:rsid w:val="008C1EDA"/>
    <w:rsid w:val="008C275C"/>
    <w:rsid w:val="008C2CFD"/>
    <w:rsid w:val="008C2EB3"/>
    <w:rsid w:val="008C338A"/>
    <w:rsid w:val="008C37EF"/>
    <w:rsid w:val="008C39B0"/>
    <w:rsid w:val="008C3AF8"/>
    <w:rsid w:val="008C3DA6"/>
    <w:rsid w:val="008C3FDC"/>
    <w:rsid w:val="008C47AD"/>
    <w:rsid w:val="008C4FA8"/>
    <w:rsid w:val="008C51CB"/>
    <w:rsid w:val="008C53E4"/>
    <w:rsid w:val="008C58BD"/>
    <w:rsid w:val="008C5CEA"/>
    <w:rsid w:val="008C603A"/>
    <w:rsid w:val="008C66B3"/>
    <w:rsid w:val="008C68C4"/>
    <w:rsid w:val="008C6948"/>
    <w:rsid w:val="008C6A2F"/>
    <w:rsid w:val="008C6ED4"/>
    <w:rsid w:val="008C71C8"/>
    <w:rsid w:val="008C72BE"/>
    <w:rsid w:val="008C7790"/>
    <w:rsid w:val="008C796B"/>
    <w:rsid w:val="008D07A1"/>
    <w:rsid w:val="008D0A25"/>
    <w:rsid w:val="008D0F85"/>
    <w:rsid w:val="008D1261"/>
    <w:rsid w:val="008D13EE"/>
    <w:rsid w:val="008D145A"/>
    <w:rsid w:val="008D14CD"/>
    <w:rsid w:val="008D14F3"/>
    <w:rsid w:val="008D167D"/>
    <w:rsid w:val="008D1ADE"/>
    <w:rsid w:val="008D2189"/>
    <w:rsid w:val="008D22A7"/>
    <w:rsid w:val="008D22C9"/>
    <w:rsid w:val="008D24B8"/>
    <w:rsid w:val="008D2703"/>
    <w:rsid w:val="008D280A"/>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A79"/>
    <w:rsid w:val="008E5E51"/>
    <w:rsid w:val="008E6214"/>
    <w:rsid w:val="008E6538"/>
    <w:rsid w:val="008E6578"/>
    <w:rsid w:val="008E660F"/>
    <w:rsid w:val="008E67D5"/>
    <w:rsid w:val="008E67FD"/>
    <w:rsid w:val="008E6BD3"/>
    <w:rsid w:val="008E6C53"/>
    <w:rsid w:val="008E74FE"/>
    <w:rsid w:val="008E7BCD"/>
    <w:rsid w:val="008E7FB4"/>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700E"/>
    <w:rsid w:val="008F736A"/>
    <w:rsid w:val="008F743B"/>
    <w:rsid w:val="008F7E5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2CCC"/>
    <w:rsid w:val="009230A6"/>
    <w:rsid w:val="00923316"/>
    <w:rsid w:val="009233EC"/>
    <w:rsid w:val="00924479"/>
    <w:rsid w:val="00924627"/>
    <w:rsid w:val="009248F6"/>
    <w:rsid w:val="009250A8"/>
    <w:rsid w:val="00925450"/>
    <w:rsid w:val="0092597F"/>
    <w:rsid w:val="00925BE6"/>
    <w:rsid w:val="00925ECC"/>
    <w:rsid w:val="00926162"/>
    <w:rsid w:val="00926260"/>
    <w:rsid w:val="009264EA"/>
    <w:rsid w:val="00926697"/>
    <w:rsid w:val="0092685B"/>
    <w:rsid w:val="00926B0A"/>
    <w:rsid w:val="00926F61"/>
    <w:rsid w:val="00926FA9"/>
    <w:rsid w:val="0092723B"/>
    <w:rsid w:val="009272AE"/>
    <w:rsid w:val="009272D3"/>
    <w:rsid w:val="0092744A"/>
    <w:rsid w:val="0092746A"/>
    <w:rsid w:val="00927A0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231"/>
    <w:rsid w:val="009355C9"/>
    <w:rsid w:val="00935776"/>
    <w:rsid w:val="00935D15"/>
    <w:rsid w:val="00935EE5"/>
    <w:rsid w:val="0093602F"/>
    <w:rsid w:val="009361E8"/>
    <w:rsid w:val="00936200"/>
    <w:rsid w:val="00936DA3"/>
    <w:rsid w:val="00936EE6"/>
    <w:rsid w:val="0093706A"/>
    <w:rsid w:val="009370E2"/>
    <w:rsid w:val="0093799D"/>
    <w:rsid w:val="009379FB"/>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2D29"/>
    <w:rsid w:val="00943443"/>
    <w:rsid w:val="00943630"/>
    <w:rsid w:val="00943C0C"/>
    <w:rsid w:val="0094409C"/>
    <w:rsid w:val="00944159"/>
    <w:rsid w:val="009444B8"/>
    <w:rsid w:val="009446FE"/>
    <w:rsid w:val="009449B2"/>
    <w:rsid w:val="00944A11"/>
    <w:rsid w:val="00944A82"/>
    <w:rsid w:val="00944BA5"/>
    <w:rsid w:val="00944D4C"/>
    <w:rsid w:val="009451D8"/>
    <w:rsid w:val="0094529D"/>
    <w:rsid w:val="00945543"/>
    <w:rsid w:val="00945ACA"/>
    <w:rsid w:val="00945BE7"/>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74"/>
    <w:rsid w:val="00953E5E"/>
    <w:rsid w:val="00953F88"/>
    <w:rsid w:val="00953FE9"/>
    <w:rsid w:val="00954181"/>
    <w:rsid w:val="00954417"/>
    <w:rsid w:val="0095481C"/>
    <w:rsid w:val="0095511A"/>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2E3E"/>
    <w:rsid w:val="00963099"/>
    <w:rsid w:val="00963206"/>
    <w:rsid w:val="00963337"/>
    <w:rsid w:val="009633BB"/>
    <w:rsid w:val="009638FD"/>
    <w:rsid w:val="0096394B"/>
    <w:rsid w:val="009639CB"/>
    <w:rsid w:val="00963A36"/>
    <w:rsid w:val="00963DBA"/>
    <w:rsid w:val="009640E7"/>
    <w:rsid w:val="009643DA"/>
    <w:rsid w:val="0096485F"/>
    <w:rsid w:val="00964BCC"/>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49"/>
    <w:rsid w:val="009730B1"/>
    <w:rsid w:val="009731D6"/>
    <w:rsid w:val="00973432"/>
    <w:rsid w:val="00973447"/>
    <w:rsid w:val="00973784"/>
    <w:rsid w:val="00973814"/>
    <w:rsid w:val="00973A33"/>
    <w:rsid w:val="00973E6D"/>
    <w:rsid w:val="00973FC6"/>
    <w:rsid w:val="00974746"/>
    <w:rsid w:val="00974A72"/>
    <w:rsid w:val="00974A86"/>
    <w:rsid w:val="00975119"/>
    <w:rsid w:val="00975489"/>
    <w:rsid w:val="0097570C"/>
    <w:rsid w:val="009762AD"/>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446"/>
    <w:rsid w:val="00980A10"/>
    <w:rsid w:val="00980A27"/>
    <w:rsid w:val="00981130"/>
    <w:rsid w:val="00981528"/>
    <w:rsid w:val="009817BD"/>
    <w:rsid w:val="00981AF9"/>
    <w:rsid w:val="00981D14"/>
    <w:rsid w:val="00981F9D"/>
    <w:rsid w:val="00981FC2"/>
    <w:rsid w:val="0098218B"/>
    <w:rsid w:val="0098229C"/>
    <w:rsid w:val="009827A6"/>
    <w:rsid w:val="0098289D"/>
    <w:rsid w:val="00982AA4"/>
    <w:rsid w:val="00982CCC"/>
    <w:rsid w:val="009832AD"/>
    <w:rsid w:val="0098345A"/>
    <w:rsid w:val="009835E0"/>
    <w:rsid w:val="0098377F"/>
    <w:rsid w:val="009838D0"/>
    <w:rsid w:val="00983A93"/>
    <w:rsid w:val="00983D46"/>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7A8"/>
    <w:rsid w:val="0099499F"/>
    <w:rsid w:val="00994A23"/>
    <w:rsid w:val="00994CE1"/>
    <w:rsid w:val="00994D00"/>
    <w:rsid w:val="00994E69"/>
    <w:rsid w:val="00995391"/>
    <w:rsid w:val="00995CBB"/>
    <w:rsid w:val="00995D5B"/>
    <w:rsid w:val="009960AB"/>
    <w:rsid w:val="009960F4"/>
    <w:rsid w:val="00996191"/>
    <w:rsid w:val="00996258"/>
    <w:rsid w:val="0099627E"/>
    <w:rsid w:val="00996306"/>
    <w:rsid w:val="009963FD"/>
    <w:rsid w:val="00996455"/>
    <w:rsid w:val="009966BA"/>
    <w:rsid w:val="00996744"/>
    <w:rsid w:val="00996769"/>
    <w:rsid w:val="00996B92"/>
    <w:rsid w:val="00997373"/>
    <w:rsid w:val="0099739F"/>
    <w:rsid w:val="009977DA"/>
    <w:rsid w:val="009978CD"/>
    <w:rsid w:val="00997B3E"/>
    <w:rsid w:val="00997CED"/>
    <w:rsid w:val="00997CF4"/>
    <w:rsid w:val="009A0049"/>
    <w:rsid w:val="009A03A8"/>
    <w:rsid w:val="009A03D6"/>
    <w:rsid w:val="009A0954"/>
    <w:rsid w:val="009A0B23"/>
    <w:rsid w:val="009A1169"/>
    <w:rsid w:val="009A1302"/>
    <w:rsid w:val="009A164C"/>
    <w:rsid w:val="009A1AAC"/>
    <w:rsid w:val="009A1ADE"/>
    <w:rsid w:val="009A1DDD"/>
    <w:rsid w:val="009A1E0F"/>
    <w:rsid w:val="009A29D7"/>
    <w:rsid w:val="009A2A71"/>
    <w:rsid w:val="009A2AD6"/>
    <w:rsid w:val="009A2BB6"/>
    <w:rsid w:val="009A2CB8"/>
    <w:rsid w:val="009A3168"/>
    <w:rsid w:val="009A323C"/>
    <w:rsid w:val="009A3789"/>
    <w:rsid w:val="009A3CF4"/>
    <w:rsid w:val="009A3EAE"/>
    <w:rsid w:val="009A45A2"/>
    <w:rsid w:val="009A4729"/>
    <w:rsid w:val="009A538A"/>
    <w:rsid w:val="009A55E5"/>
    <w:rsid w:val="009A5665"/>
    <w:rsid w:val="009A5D9E"/>
    <w:rsid w:val="009A609E"/>
    <w:rsid w:val="009A64E7"/>
    <w:rsid w:val="009A65CC"/>
    <w:rsid w:val="009A6919"/>
    <w:rsid w:val="009A6AC7"/>
    <w:rsid w:val="009A7046"/>
    <w:rsid w:val="009A735F"/>
    <w:rsid w:val="009A744F"/>
    <w:rsid w:val="009A7613"/>
    <w:rsid w:val="009B0408"/>
    <w:rsid w:val="009B06F5"/>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29F"/>
    <w:rsid w:val="009C33DE"/>
    <w:rsid w:val="009C3409"/>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0E8"/>
    <w:rsid w:val="009C51D5"/>
    <w:rsid w:val="009C543C"/>
    <w:rsid w:val="009C5520"/>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0E3"/>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4EF4"/>
    <w:rsid w:val="009F5069"/>
    <w:rsid w:val="009F5117"/>
    <w:rsid w:val="009F514E"/>
    <w:rsid w:val="009F5455"/>
    <w:rsid w:val="009F5763"/>
    <w:rsid w:val="009F5A76"/>
    <w:rsid w:val="009F5C48"/>
    <w:rsid w:val="009F6053"/>
    <w:rsid w:val="009F606D"/>
    <w:rsid w:val="009F66F9"/>
    <w:rsid w:val="009F74A1"/>
    <w:rsid w:val="009F74D1"/>
    <w:rsid w:val="009F76E6"/>
    <w:rsid w:val="009F7867"/>
    <w:rsid w:val="009F7A09"/>
    <w:rsid w:val="009F7D66"/>
    <w:rsid w:val="009F7F7E"/>
    <w:rsid w:val="00A008CB"/>
    <w:rsid w:val="00A00921"/>
    <w:rsid w:val="00A00A0E"/>
    <w:rsid w:val="00A00BD2"/>
    <w:rsid w:val="00A00E56"/>
    <w:rsid w:val="00A01167"/>
    <w:rsid w:val="00A0121F"/>
    <w:rsid w:val="00A0168E"/>
    <w:rsid w:val="00A01747"/>
    <w:rsid w:val="00A01874"/>
    <w:rsid w:val="00A01C10"/>
    <w:rsid w:val="00A01EC1"/>
    <w:rsid w:val="00A01F6F"/>
    <w:rsid w:val="00A0223D"/>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1A2"/>
    <w:rsid w:val="00A20459"/>
    <w:rsid w:val="00A20653"/>
    <w:rsid w:val="00A206D3"/>
    <w:rsid w:val="00A207E7"/>
    <w:rsid w:val="00A20A39"/>
    <w:rsid w:val="00A20A6D"/>
    <w:rsid w:val="00A20E8A"/>
    <w:rsid w:val="00A212E8"/>
    <w:rsid w:val="00A220FA"/>
    <w:rsid w:val="00A223AD"/>
    <w:rsid w:val="00A234A9"/>
    <w:rsid w:val="00A23651"/>
    <w:rsid w:val="00A23814"/>
    <w:rsid w:val="00A238BD"/>
    <w:rsid w:val="00A2399B"/>
    <w:rsid w:val="00A23B65"/>
    <w:rsid w:val="00A23D83"/>
    <w:rsid w:val="00A23DC8"/>
    <w:rsid w:val="00A23DCA"/>
    <w:rsid w:val="00A23DEE"/>
    <w:rsid w:val="00A23E9D"/>
    <w:rsid w:val="00A240D8"/>
    <w:rsid w:val="00A243E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AAE"/>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A"/>
    <w:rsid w:val="00A33D2B"/>
    <w:rsid w:val="00A344A5"/>
    <w:rsid w:val="00A346C3"/>
    <w:rsid w:val="00A34A01"/>
    <w:rsid w:val="00A34C3C"/>
    <w:rsid w:val="00A34C69"/>
    <w:rsid w:val="00A34D4A"/>
    <w:rsid w:val="00A350F4"/>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06A"/>
    <w:rsid w:val="00A401F9"/>
    <w:rsid w:val="00A409ED"/>
    <w:rsid w:val="00A40D8E"/>
    <w:rsid w:val="00A410A6"/>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2F7B"/>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5AB"/>
    <w:rsid w:val="00A55708"/>
    <w:rsid w:val="00A55728"/>
    <w:rsid w:val="00A55EEB"/>
    <w:rsid w:val="00A56306"/>
    <w:rsid w:val="00A566AB"/>
    <w:rsid w:val="00A56B5F"/>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1F9C"/>
    <w:rsid w:val="00A6203C"/>
    <w:rsid w:val="00A62117"/>
    <w:rsid w:val="00A623C7"/>
    <w:rsid w:val="00A62609"/>
    <w:rsid w:val="00A62691"/>
    <w:rsid w:val="00A62B6E"/>
    <w:rsid w:val="00A62BE3"/>
    <w:rsid w:val="00A62C84"/>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0DDE"/>
    <w:rsid w:val="00A8168F"/>
    <w:rsid w:val="00A81CA9"/>
    <w:rsid w:val="00A81CF3"/>
    <w:rsid w:val="00A81D91"/>
    <w:rsid w:val="00A81F29"/>
    <w:rsid w:val="00A82035"/>
    <w:rsid w:val="00A82614"/>
    <w:rsid w:val="00A83346"/>
    <w:rsid w:val="00A83680"/>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6F0D"/>
    <w:rsid w:val="00A8742B"/>
    <w:rsid w:val="00A87551"/>
    <w:rsid w:val="00A875CA"/>
    <w:rsid w:val="00A876CC"/>
    <w:rsid w:val="00A87ABA"/>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3181"/>
    <w:rsid w:val="00A9351E"/>
    <w:rsid w:val="00A93660"/>
    <w:rsid w:val="00A938E6"/>
    <w:rsid w:val="00A93980"/>
    <w:rsid w:val="00A93A9E"/>
    <w:rsid w:val="00A93B33"/>
    <w:rsid w:val="00A93C7D"/>
    <w:rsid w:val="00A93CCF"/>
    <w:rsid w:val="00A94116"/>
    <w:rsid w:val="00A94167"/>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6B3"/>
    <w:rsid w:val="00A978D2"/>
    <w:rsid w:val="00A979E1"/>
    <w:rsid w:val="00A97F2A"/>
    <w:rsid w:val="00AA011C"/>
    <w:rsid w:val="00AA01CC"/>
    <w:rsid w:val="00AA0651"/>
    <w:rsid w:val="00AA087E"/>
    <w:rsid w:val="00AA08BD"/>
    <w:rsid w:val="00AA0B7F"/>
    <w:rsid w:val="00AA0B9E"/>
    <w:rsid w:val="00AA0EBC"/>
    <w:rsid w:val="00AA1087"/>
    <w:rsid w:val="00AA161A"/>
    <w:rsid w:val="00AA186C"/>
    <w:rsid w:val="00AA199F"/>
    <w:rsid w:val="00AA1ABE"/>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67B"/>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BFC"/>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9D9"/>
    <w:rsid w:val="00AC1E55"/>
    <w:rsid w:val="00AC267E"/>
    <w:rsid w:val="00AC2784"/>
    <w:rsid w:val="00AC2B29"/>
    <w:rsid w:val="00AC2BB1"/>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53A"/>
    <w:rsid w:val="00AC76CF"/>
    <w:rsid w:val="00AC7C7F"/>
    <w:rsid w:val="00AC7D98"/>
    <w:rsid w:val="00AD00C5"/>
    <w:rsid w:val="00AD02D1"/>
    <w:rsid w:val="00AD09F3"/>
    <w:rsid w:val="00AD165F"/>
    <w:rsid w:val="00AD16D3"/>
    <w:rsid w:val="00AD1A40"/>
    <w:rsid w:val="00AD24F9"/>
    <w:rsid w:val="00AD2794"/>
    <w:rsid w:val="00AD27FC"/>
    <w:rsid w:val="00AD28C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7E0"/>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D94"/>
    <w:rsid w:val="00AE306D"/>
    <w:rsid w:val="00AE35DF"/>
    <w:rsid w:val="00AE3691"/>
    <w:rsid w:val="00AE37B4"/>
    <w:rsid w:val="00AE3894"/>
    <w:rsid w:val="00AE3946"/>
    <w:rsid w:val="00AE3A21"/>
    <w:rsid w:val="00AE3A68"/>
    <w:rsid w:val="00AE3C2A"/>
    <w:rsid w:val="00AE3DE1"/>
    <w:rsid w:val="00AE3F18"/>
    <w:rsid w:val="00AE3F96"/>
    <w:rsid w:val="00AE40CF"/>
    <w:rsid w:val="00AE43E0"/>
    <w:rsid w:val="00AE4A7F"/>
    <w:rsid w:val="00AE4AE5"/>
    <w:rsid w:val="00AE4F50"/>
    <w:rsid w:val="00AE52E9"/>
    <w:rsid w:val="00AE5439"/>
    <w:rsid w:val="00AE55F2"/>
    <w:rsid w:val="00AE560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9BE"/>
    <w:rsid w:val="00AF0A6B"/>
    <w:rsid w:val="00AF0E04"/>
    <w:rsid w:val="00AF139F"/>
    <w:rsid w:val="00AF1449"/>
    <w:rsid w:val="00AF1CC8"/>
    <w:rsid w:val="00AF1E72"/>
    <w:rsid w:val="00AF2021"/>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817"/>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42"/>
    <w:rsid w:val="00B07D9F"/>
    <w:rsid w:val="00B07E3A"/>
    <w:rsid w:val="00B07E52"/>
    <w:rsid w:val="00B10010"/>
    <w:rsid w:val="00B102DD"/>
    <w:rsid w:val="00B102F2"/>
    <w:rsid w:val="00B110FD"/>
    <w:rsid w:val="00B1122D"/>
    <w:rsid w:val="00B112FE"/>
    <w:rsid w:val="00B115E4"/>
    <w:rsid w:val="00B11775"/>
    <w:rsid w:val="00B11F48"/>
    <w:rsid w:val="00B11F75"/>
    <w:rsid w:val="00B12066"/>
    <w:rsid w:val="00B12528"/>
    <w:rsid w:val="00B1265F"/>
    <w:rsid w:val="00B12714"/>
    <w:rsid w:val="00B12B3F"/>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88"/>
    <w:rsid w:val="00B20B94"/>
    <w:rsid w:val="00B20D84"/>
    <w:rsid w:val="00B21477"/>
    <w:rsid w:val="00B21540"/>
    <w:rsid w:val="00B21AC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1FE6"/>
    <w:rsid w:val="00B32122"/>
    <w:rsid w:val="00B324FE"/>
    <w:rsid w:val="00B326A8"/>
    <w:rsid w:val="00B3282B"/>
    <w:rsid w:val="00B3291A"/>
    <w:rsid w:val="00B329EB"/>
    <w:rsid w:val="00B32FCD"/>
    <w:rsid w:val="00B330DF"/>
    <w:rsid w:val="00B33233"/>
    <w:rsid w:val="00B33508"/>
    <w:rsid w:val="00B3377E"/>
    <w:rsid w:val="00B33EB9"/>
    <w:rsid w:val="00B33FC4"/>
    <w:rsid w:val="00B341AA"/>
    <w:rsid w:val="00B34511"/>
    <w:rsid w:val="00B346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571"/>
    <w:rsid w:val="00B375F4"/>
    <w:rsid w:val="00B377ED"/>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48"/>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08F"/>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D80"/>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2FED"/>
    <w:rsid w:val="00B531D0"/>
    <w:rsid w:val="00B53259"/>
    <w:rsid w:val="00B53893"/>
    <w:rsid w:val="00B54074"/>
    <w:rsid w:val="00B54206"/>
    <w:rsid w:val="00B54227"/>
    <w:rsid w:val="00B54866"/>
    <w:rsid w:val="00B548C2"/>
    <w:rsid w:val="00B54B6A"/>
    <w:rsid w:val="00B54D8D"/>
    <w:rsid w:val="00B54F97"/>
    <w:rsid w:val="00B5541E"/>
    <w:rsid w:val="00B55428"/>
    <w:rsid w:val="00B55917"/>
    <w:rsid w:val="00B55A1A"/>
    <w:rsid w:val="00B55ACA"/>
    <w:rsid w:val="00B55ACC"/>
    <w:rsid w:val="00B55C6D"/>
    <w:rsid w:val="00B56299"/>
    <w:rsid w:val="00B564CC"/>
    <w:rsid w:val="00B569DF"/>
    <w:rsid w:val="00B570BF"/>
    <w:rsid w:val="00B57715"/>
    <w:rsid w:val="00B578C8"/>
    <w:rsid w:val="00B57C31"/>
    <w:rsid w:val="00B57D8D"/>
    <w:rsid w:val="00B57FB5"/>
    <w:rsid w:val="00B6015D"/>
    <w:rsid w:val="00B6043F"/>
    <w:rsid w:val="00B60471"/>
    <w:rsid w:val="00B60565"/>
    <w:rsid w:val="00B608A9"/>
    <w:rsid w:val="00B608FC"/>
    <w:rsid w:val="00B60AF8"/>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E02"/>
    <w:rsid w:val="00B63FA6"/>
    <w:rsid w:val="00B64632"/>
    <w:rsid w:val="00B64AA7"/>
    <w:rsid w:val="00B64C09"/>
    <w:rsid w:val="00B64E45"/>
    <w:rsid w:val="00B65452"/>
    <w:rsid w:val="00B658AE"/>
    <w:rsid w:val="00B65A15"/>
    <w:rsid w:val="00B65C58"/>
    <w:rsid w:val="00B66212"/>
    <w:rsid w:val="00B66489"/>
    <w:rsid w:val="00B66578"/>
    <w:rsid w:val="00B66594"/>
    <w:rsid w:val="00B66598"/>
    <w:rsid w:val="00B66656"/>
    <w:rsid w:val="00B66664"/>
    <w:rsid w:val="00B6679B"/>
    <w:rsid w:val="00B66A07"/>
    <w:rsid w:val="00B66BAD"/>
    <w:rsid w:val="00B6722A"/>
    <w:rsid w:val="00B67331"/>
    <w:rsid w:val="00B67546"/>
    <w:rsid w:val="00B67805"/>
    <w:rsid w:val="00B678FA"/>
    <w:rsid w:val="00B67AD5"/>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D9"/>
    <w:rsid w:val="00B769EB"/>
    <w:rsid w:val="00B76BCD"/>
    <w:rsid w:val="00B76E5A"/>
    <w:rsid w:val="00B76EE9"/>
    <w:rsid w:val="00B76F2B"/>
    <w:rsid w:val="00B77014"/>
    <w:rsid w:val="00B77231"/>
    <w:rsid w:val="00B774F8"/>
    <w:rsid w:val="00B776CD"/>
    <w:rsid w:val="00B77880"/>
    <w:rsid w:val="00B77B84"/>
    <w:rsid w:val="00B77BC9"/>
    <w:rsid w:val="00B8006A"/>
    <w:rsid w:val="00B803C7"/>
    <w:rsid w:val="00B80AB2"/>
    <w:rsid w:val="00B80D90"/>
    <w:rsid w:val="00B80E75"/>
    <w:rsid w:val="00B80F7A"/>
    <w:rsid w:val="00B8134F"/>
    <w:rsid w:val="00B816B7"/>
    <w:rsid w:val="00B81AD0"/>
    <w:rsid w:val="00B81AD6"/>
    <w:rsid w:val="00B81BC9"/>
    <w:rsid w:val="00B81C4D"/>
    <w:rsid w:val="00B81F5A"/>
    <w:rsid w:val="00B82498"/>
    <w:rsid w:val="00B82613"/>
    <w:rsid w:val="00B82887"/>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A6A"/>
    <w:rsid w:val="00B86E98"/>
    <w:rsid w:val="00B86E9D"/>
    <w:rsid w:val="00B86EF5"/>
    <w:rsid w:val="00B871B8"/>
    <w:rsid w:val="00B87346"/>
    <w:rsid w:val="00B87801"/>
    <w:rsid w:val="00B87873"/>
    <w:rsid w:val="00B879A5"/>
    <w:rsid w:val="00B879D0"/>
    <w:rsid w:val="00B87C8B"/>
    <w:rsid w:val="00B87FA1"/>
    <w:rsid w:val="00B90217"/>
    <w:rsid w:val="00B90E2A"/>
    <w:rsid w:val="00B90F2A"/>
    <w:rsid w:val="00B910C5"/>
    <w:rsid w:val="00B91687"/>
    <w:rsid w:val="00B9198D"/>
    <w:rsid w:val="00B91D03"/>
    <w:rsid w:val="00B91F54"/>
    <w:rsid w:val="00B926C6"/>
    <w:rsid w:val="00B929B4"/>
    <w:rsid w:val="00B92C23"/>
    <w:rsid w:val="00B92D25"/>
    <w:rsid w:val="00B93008"/>
    <w:rsid w:val="00B93191"/>
    <w:rsid w:val="00B93F4D"/>
    <w:rsid w:val="00B94026"/>
    <w:rsid w:val="00B9406D"/>
    <w:rsid w:val="00B94389"/>
    <w:rsid w:val="00B943FA"/>
    <w:rsid w:val="00B94501"/>
    <w:rsid w:val="00B945E7"/>
    <w:rsid w:val="00B94637"/>
    <w:rsid w:val="00B946A3"/>
    <w:rsid w:val="00B94862"/>
    <w:rsid w:val="00B94B83"/>
    <w:rsid w:val="00B94BA7"/>
    <w:rsid w:val="00B94E0E"/>
    <w:rsid w:val="00B94EB5"/>
    <w:rsid w:val="00B953AB"/>
    <w:rsid w:val="00B95733"/>
    <w:rsid w:val="00B95838"/>
    <w:rsid w:val="00B95F81"/>
    <w:rsid w:val="00B95FF9"/>
    <w:rsid w:val="00B962E6"/>
    <w:rsid w:val="00B963AD"/>
    <w:rsid w:val="00B96413"/>
    <w:rsid w:val="00B9658C"/>
    <w:rsid w:val="00B9679B"/>
    <w:rsid w:val="00B96AC3"/>
    <w:rsid w:val="00B976B9"/>
    <w:rsid w:val="00B97CA3"/>
    <w:rsid w:val="00BA023F"/>
    <w:rsid w:val="00BA080C"/>
    <w:rsid w:val="00BA0972"/>
    <w:rsid w:val="00BA097E"/>
    <w:rsid w:val="00BA0A2A"/>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BBD"/>
    <w:rsid w:val="00BB2F36"/>
    <w:rsid w:val="00BB311F"/>
    <w:rsid w:val="00BB3456"/>
    <w:rsid w:val="00BB35D0"/>
    <w:rsid w:val="00BB38A5"/>
    <w:rsid w:val="00BB3E2B"/>
    <w:rsid w:val="00BB429F"/>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A8C"/>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58D"/>
    <w:rsid w:val="00BC660F"/>
    <w:rsid w:val="00BC673C"/>
    <w:rsid w:val="00BC67EB"/>
    <w:rsid w:val="00BC6EA4"/>
    <w:rsid w:val="00BC7011"/>
    <w:rsid w:val="00BC71B9"/>
    <w:rsid w:val="00BC74B5"/>
    <w:rsid w:val="00BC75A6"/>
    <w:rsid w:val="00BC7775"/>
    <w:rsid w:val="00BC7998"/>
    <w:rsid w:val="00BC7AC9"/>
    <w:rsid w:val="00BC7B88"/>
    <w:rsid w:val="00BC7BEF"/>
    <w:rsid w:val="00BD001A"/>
    <w:rsid w:val="00BD0AB5"/>
    <w:rsid w:val="00BD1021"/>
    <w:rsid w:val="00BD1123"/>
    <w:rsid w:val="00BD146E"/>
    <w:rsid w:val="00BD1999"/>
    <w:rsid w:val="00BD1B19"/>
    <w:rsid w:val="00BD1B1B"/>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2B4"/>
    <w:rsid w:val="00BE02BD"/>
    <w:rsid w:val="00BE0324"/>
    <w:rsid w:val="00BE053D"/>
    <w:rsid w:val="00BE0BFB"/>
    <w:rsid w:val="00BE0C28"/>
    <w:rsid w:val="00BE0CD6"/>
    <w:rsid w:val="00BE117C"/>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F24"/>
    <w:rsid w:val="00BE4443"/>
    <w:rsid w:val="00BE4727"/>
    <w:rsid w:val="00BE486E"/>
    <w:rsid w:val="00BE4DC9"/>
    <w:rsid w:val="00BE4EC9"/>
    <w:rsid w:val="00BE4F92"/>
    <w:rsid w:val="00BE56DE"/>
    <w:rsid w:val="00BE631E"/>
    <w:rsid w:val="00BE63C4"/>
    <w:rsid w:val="00BE6674"/>
    <w:rsid w:val="00BE6B10"/>
    <w:rsid w:val="00BE6BEC"/>
    <w:rsid w:val="00BE7203"/>
    <w:rsid w:val="00BE744F"/>
    <w:rsid w:val="00BE7649"/>
    <w:rsid w:val="00BE77C5"/>
    <w:rsid w:val="00BE7D51"/>
    <w:rsid w:val="00BE7D74"/>
    <w:rsid w:val="00BF02BB"/>
    <w:rsid w:val="00BF054C"/>
    <w:rsid w:val="00BF08BB"/>
    <w:rsid w:val="00BF091F"/>
    <w:rsid w:val="00BF09DE"/>
    <w:rsid w:val="00BF0AEB"/>
    <w:rsid w:val="00BF0B8F"/>
    <w:rsid w:val="00BF0CCF"/>
    <w:rsid w:val="00BF0F3F"/>
    <w:rsid w:val="00BF0FC5"/>
    <w:rsid w:val="00BF10A9"/>
    <w:rsid w:val="00BF10BC"/>
    <w:rsid w:val="00BF10F2"/>
    <w:rsid w:val="00BF1562"/>
    <w:rsid w:val="00BF17DC"/>
    <w:rsid w:val="00BF1C16"/>
    <w:rsid w:val="00BF1EC2"/>
    <w:rsid w:val="00BF20BA"/>
    <w:rsid w:val="00BF21AC"/>
    <w:rsid w:val="00BF22BE"/>
    <w:rsid w:val="00BF2416"/>
    <w:rsid w:val="00BF246C"/>
    <w:rsid w:val="00BF2A2D"/>
    <w:rsid w:val="00BF2AC4"/>
    <w:rsid w:val="00BF2B31"/>
    <w:rsid w:val="00BF2E53"/>
    <w:rsid w:val="00BF2F67"/>
    <w:rsid w:val="00BF2F96"/>
    <w:rsid w:val="00BF352A"/>
    <w:rsid w:val="00BF3669"/>
    <w:rsid w:val="00BF3C0D"/>
    <w:rsid w:val="00BF4438"/>
    <w:rsid w:val="00BF4695"/>
    <w:rsid w:val="00BF47FF"/>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44A"/>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1C8"/>
    <w:rsid w:val="00C022AF"/>
    <w:rsid w:val="00C023E4"/>
    <w:rsid w:val="00C023FC"/>
    <w:rsid w:val="00C02874"/>
    <w:rsid w:val="00C02A12"/>
    <w:rsid w:val="00C02C30"/>
    <w:rsid w:val="00C02C9E"/>
    <w:rsid w:val="00C03087"/>
    <w:rsid w:val="00C030AC"/>
    <w:rsid w:val="00C032D2"/>
    <w:rsid w:val="00C03301"/>
    <w:rsid w:val="00C03309"/>
    <w:rsid w:val="00C03343"/>
    <w:rsid w:val="00C036F7"/>
    <w:rsid w:val="00C03783"/>
    <w:rsid w:val="00C037E0"/>
    <w:rsid w:val="00C04419"/>
    <w:rsid w:val="00C046A7"/>
    <w:rsid w:val="00C046B2"/>
    <w:rsid w:val="00C04969"/>
    <w:rsid w:val="00C04B6C"/>
    <w:rsid w:val="00C04D14"/>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15"/>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AA3"/>
    <w:rsid w:val="00C23D5D"/>
    <w:rsid w:val="00C24227"/>
    <w:rsid w:val="00C24886"/>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07A"/>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836"/>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A4A"/>
    <w:rsid w:val="00C33E7B"/>
    <w:rsid w:val="00C33EAA"/>
    <w:rsid w:val="00C33F21"/>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6E39"/>
    <w:rsid w:val="00C370E1"/>
    <w:rsid w:val="00C37253"/>
    <w:rsid w:val="00C3789A"/>
    <w:rsid w:val="00C37A35"/>
    <w:rsid w:val="00C40388"/>
    <w:rsid w:val="00C404D7"/>
    <w:rsid w:val="00C404EE"/>
    <w:rsid w:val="00C40570"/>
    <w:rsid w:val="00C4081B"/>
    <w:rsid w:val="00C4092D"/>
    <w:rsid w:val="00C412D2"/>
    <w:rsid w:val="00C414C5"/>
    <w:rsid w:val="00C41696"/>
    <w:rsid w:val="00C4170D"/>
    <w:rsid w:val="00C4171B"/>
    <w:rsid w:val="00C41891"/>
    <w:rsid w:val="00C418C9"/>
    <w:rsid w:val="00C41B88"/>
    <w:rsid w:val="00C41BFA"/>
    <w:rsid w:val="00C42124"/>
    <w:rsid w:val="00C42689"/>
    <w:rsid w:val="00C42988"/>
    <w:rsid w:val="00C42BD4"/>
    <w:rsid w:val="00C42C80"/>
    <w:rsid w:val="00C42E9E"/>
    <w:rsid w:val="00C430C9"/>
    <w:rsid w:val="00C432D0"/>
    <w:rsid w:val="00C433C4"/>
    <w:rsid w:val="00C4346E"/>
    <w:rsid w:val="00C4371C"/>
    <w:rsid w:val="00C438D6"/>
    <w:rsid w:val="00C4390C"/>
    <w:rsid w:val="00C43A1A"/>
    <w:rsid w:val="00C43C1F"/>
    <w:rsid w:val="00C43FF0"/>
    <w:rsid w:val="00C44124"/>
    <w:rsid w:val="00C44641"/>
    <w:rsid w:val="00C44993"/>
    <w:rsid w:val="00C44A98"/>
    <w:rsid w:val="00C44DB3"/>
    <w:rsid w:val="00C44DDB"/>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99B"/>
    <w:rsid w:val="00C50A4E"/>
    <w:rsid w:val="00C50A6A"/>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16"/>
    <w:rsid w:val="00C53CFA"/>
    <w:rsid w:val="00C53E69"/>
    <w:rsid w:val="00C54020"/>
    <w:rsid w:val="00C5406F"/>
    <w:rsid w:val="00C540D4"/>
    <w:rsid w:val="00C5435D"/>
    <w:rsid w:val="00C545C5"/>
    <w:rsid w:val="00C54817"/>
    <w:rsid w:val="00C54823"/>
    <w:rsid w:val="00C549B6"/>
    <w:rsid w:val="00C54F35"/>
    <w:rsid w:val="00C550EE"/>
    <w:rsid w:val="00C55136"/>
    <w:rsid w:val="00C553FA"/>
    <w:rsid w:val="00C5547A"/>
    <w:rsid w:val="00C55566"/>
    <w:rsid w:val="00C55631"/>
    <w:rsid w:val="00C5564B"/>
    <w:rsid w:val="00C55A9D"/>
    <w:rsid w:val="00C55C4D"/>
    <w:rsid w:val="00C55E6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62"/>
    <w:rsid w:val="00C719C2"/>
    <w:rsid w:val="00C71D0E"/>
    <w:rsid w:val="00C71D46"/>
    <w:rsid w:val="00C71F91"/>
    <w:rsid w:val="00C71FA9"/>
    <w:rsid w:val="00C72022"/>
    <w:rsid w:val="00C7235B"/>
    <w:rsid w:val="00C72776"/>
    <w:rsid w:val="00C727B3"/>
    <w:rsid w:val="00C7292E"/>
    <w:rsid w:val="00C72949"/>
    <w:rsid w:val="00C72E18"/>
    <w:rsid w:val="00C731AD"/>
    <w:rsid w:val="00C73490"/>
    <w:rsid w:val="00C7380B"/>
    <w:rsid w:val="00C73C7E"/>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4FDE"/>
    <w:rsid w:val="00C85144"/>
    <w:rsid w:val="00C851E2"/>
    <w:rsid w:val="00C85277"/>
    <w:rsid w:val="00C853B3"/>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7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0FCE"/>
    <w:rsid w:val="00CA11D7"/>
    <w:rsid w:val="00CA1748"/>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3EC"/>
    <w:rsid w:val="00CA5445"/>
    <w:rsid w:val="00CA5465"/>
    <w:rsid w:val="00CA5505"/>
    <w:rsid w:val="00CA5EA8"/>
    <w:rsid w:val="00CA5F61"/>
    <w:rsid w:val="00CA620F"/>
    <w:rsid w:val="00CA6416"/>
    <w:rsid w:val="00CA6AB5"/>
    <w:rsid w:val="00CA7563"/>
    <w:rsid w:val="00CA770B"/>
    <w:rsid w:val="00CA7C88"/>
    <w:rsid w:val="00CA7D92"/>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18A"/>
    <w:rsid w:val="00CB2990"/>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6BE8"/>
    <w:rsid w:val="00CB71F8"/>
    <w:rsid w:val="00CB7312"/>
    <w:rsid w:val="00CB74FD"/>
    <w:rsid w:val="00CB7718"/>
    <w:rsid w:val="00CB7B56"/>
    <w:rsid w:val="00CB7E16"/>
    <w:rsid w:val="00CB7F6F"/>
    <w:rsid w:val="00CC00C8"/>
    <w:rsid w:val="00CC027F"/>
    <w:rsid w:val="00CC0A60"/>
    <w:rsid w:val="00CC0C74"/>
    <w:rsid w:val="00CC1411"/>
    <w:rsid w:val="00CC15E3"/>
    <w:rsid w:val="00CC180A"/>
    <w:rsid w:val="00CC195B"/>
    <w:rsid w:val="00CC209D"/>
    <w:rsid w:val="00CC22FC"/>
    <w:rsid w:val="00CC23F9"/>
    <w:rsid w:val="00CC2507"/>
    <w:rsid w:val="00CC264F"/>
    <w:rsid w:val="00CC26DB"/>
    <w:rsid w:val="00CC26FB"/>
    <w:rsid w:val="00CC2721"/>
    <w:rsid w:val="00CC284A"/>
    <w:rsid w:val="00CC29C0"/>
    <w:rsid w:val="00CC2BFB"/>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2C2"/>
    <w:rsid w:val="00CC738B"/>
    <w:rsid w:val="00CC7851"/>
    <w:rsid w:val="00CC7890"/>
    <w:rsid w:val="00CC7954"/>
    <w:rsid w:val="00CC79CA"/>
    <w:rsid w:val="00CC7A92"/>
    <w:rsid w:val="00CC7AE7"/>
    <w:rsid w:val="00CC7F61"/>
    <w:rsid w:val="00CD078F"/>
    <w:rsid w:val="00CD07E3"/>
    <w:rsid w:val="00CD08BA"/>
    <w:rsid w:val="00CD0CD7"/>
    <w:rsid w:val="00CD0E4B"/>
    <w:rsid w:val="00CD121E"/>
    <w:rsid w:val="00CD185D"/>
    <w:rsid w:val="00CD188F"/>
    <w:rsid w:val="00CD196C"/>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12"/>
    <w:rsid w:val="00CE46C6"/>
    <w:rsid w:val="00CE4C8E"/>
    <w:rsid w:val="00CE4F66"/>
    <w:rsid w:val="00CE5340"/>
    <w:rsid w:val="00CE53BB"/>
    <w:rsid w:val="00CE5DF0"/>
    <w:rsid w:val="00CE610F"/>
    <w:rsid w:val="00CE61E9"/>
    <w:rsid w:val="00CE622C"/>
    <w:rsid w:val="00CE63AE"/>
    <w:rsid w:val="00CE6A4F"/>
    <w:rsid w:val="00CE6AD2"/>
    <w:rsid w:val="00CE6D55"/>
    <w:rsid w:val="00CE6E7F"/>
    <w:rsid w:val="00CE6E90"/>
    <w:rsid w:val="00CE6F0F"/>
    <w:rsid w:val="00CE73B0"/>
    <w:rsid w:val="00CE75FF"/>
    <w:rsid w:val="00CE77C2"/>
    <w:rsid w:val="00CE7A04"/>
    <w:rsid w:val="00CE7A3E"/>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2FC"/>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D2B"/>
    <w:rsid w:val="00CF5F93"/>
    <w:rsid w:val="00CF6059"/>
    <w:rsid w:val="00CF6311"/>
    <w:rsid w:val="00CF6334"/>
    <w:rsid w:val="00CF6491"/>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B4"/>
    <w:rsid w:val="00D00BB7"/>
    <w:rsid w:val="00D00EE6"/>
    <w:rsid w:val="00D00F13"/>
    <w:rsid w:val="00D01720"/>
    <w:rsid w:val="00D019A6"/>
    <w:rsid w:val="00D01AD0"/>
    <w:rsid w:val="00D01C7E"/>
    <w:rsid w:val="00D01EAD"/>
    <w:rsid w:val="00D01F3A"/>
    <w:rsid w:val="00D02698"/>
    <w:rsid w:val="00D02880"/>
    <w:rsid w:val="00D02EB0"/>
    <w:rsid w:val="00D0302E"/>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F15"/>
    <w:rsid w:val="00D05FF7"/>
    <w:rsid w:val="00D06006"/>
    <w:rsid w:val="00D060FF"/>
    <w:rsid w:val="00D0637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343"/>
    <w:rsid w:val="00D10469"/>
    <w:rsid w:val="00D106E0"/>
    <w:rsid w:val="00D1089C"/>
    <w:rsid w:val="00D10A5F"/>
    <w:rsid w:val="00D10BAA"/>
    <w:rsid w:val="00D10EBD"/>
    <w:rsid w:val="00D11078"/>
    <w:rsid w:val="00D11080"/>
    <w:rsid w:val="00D11112"/>
    <w:rsid w:val="00D112FD"/>
    <w:rsid w:val="00D116E8"/>
    <w:rsid w:val="00D1199D"/>
    <w:rsid w:val="00D11A2C"/>
    <w:rsid w:val="00D11B97"/>
    <w:rsid w:val="00D120C7"/>
    <w:rsid w:val="00D1218C"/>
    <w:rsid w:val="00D12325"/>
    <w:rsid w:val="00D1246B"/>
    <w:rsid w:val="00D12761"/>
    <w:rsid w:val="00D12D48"/>
    <w:rsid w:val="00D12F85"/>
    <w:rsid w:val="00D130DF"/>
    <w:rsid w:val="00D13108"/>
    <w:rsid w:val="00D13519"/>
    <w:rsid w:val="00D135D2"/>
    <w:rsid w:val="00D136CB"/>
    <w:rsid w:val="00D13824"/>
    <w:rsid w:val="00D13BC7"/>
    <w:rsid w:val="00D13DE3"/>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29"/>
    <w:rsid w:val="00D15F9D"/>
    <w:rsid w:val="00D16058"/>
    <w:rsid w:val="00D1611A"/>
    <w:rsid w:val="00D16154"/>
    <w:rsid w:val="00D16362"/>
    <w:rsid w:val="00D16876"/>
    <w:rsid w:val="00D168B0"/>
    <w:rsid w:val="00D16918"/>
    <w:rsid w:val="00D16CE6"/>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1CF"/>
    <w:rsid w:val="00D21281"/>
    <w:rsid w:val="00D21416"/>
    <w:rsid w:val="00D21702"/>
    <w:rsid w:val="00D21AA0"/>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021"/>
    <w:rsid w:val="00D25307"/>
    <w:rsid w:val="00D25720"/>
    <w:rsid w:val="00D258A3"/>
    <w:rsid w:val="00D25A1D"/>
    <w:rsid w:val="00D25B86"/>
    <w:rsid w:val="00D25DBA"/>
    <w:rsid w:val="00D25FE9"/>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08"/>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3EC0"/>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007"/>
    <w:rsid w:val="00D61239"/>
    <w:rsid w:val="00D613E5"/>
    <w:rsid w:val="00D61815"/>
    <w:rsid w:val="00D6181A"/>
    <w:rsid w:val="00D61B77"/>
    <w:rsid w:val="00D6223A"/>
    <w:rsid w:val="00D62286"/>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4ABA"/>
    <w:rsid w:val="00D65C05"/>
    <w:rsid w:val="00D65C9C"/>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832"/>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67B"/>
    <w:rsid w:val="00D76888"/>
    <w:rsid w:val="00D769E2"/>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2B5"/>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0DB"/>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900C7"/>
    <w:rsid w:val="00D9010A"/>
    <w:rsid w:val="00D90428"/>
    <w:rsid w:val="00D90596"/>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11CD"/>
    <w:rsid w:val="00DB133A"/>
    <w:rsid w:val="00DB13A1"/>
    <w:rsid w:val="00DB157A"/>
    <w:rsid w:val="00DB1B82"/>
    <w:rsid w:val="00DB1B9A"/>
    <w:rsid w:val="00DB1DAB"/>
    <w:rsid w:val="00DB2035"/>
    <w:rsid w:val="00DB26AA"/>
    <w:rsid w:val="00DB2D78"/>
    <w:rsid w:val="00DB2FF2"/>
    <w:rsid w:val="00DB32BB"/>
    <w:rsid w:val="00DB33BF"/>
    <w:rsid w:val="00DB37B9"/>
    <w:rsid w:val="00DB39D4"/>
    <w:rsid w:val="00DB3A1A"/>
    <w:rsid w:val="00DB3A47"/>
    <w:rsid w:val="00DB3FE7"/>
    <w:rsid w:val="00DB41A9"/>
    <w:rsid w:val="00DB46D0"/>
    <w:rsid w:val="00DB46DF"/>
    <w:rsid w:val="00DB493A"/>
    <w:rsid w:val="00DB49B6"/>
    <w:rsid w:val="00DB4A5D"/>
    <w:rsid w:val="00DB4C39"/>
    <w:rsid w:val="00DB4CF3"/>
    <w:rsid w:val="00DB4E06"/>
    <w:rsid w:val="00DB505F"/>
    <w:rsid w:val="00DB54A2"/>
    <w:rsid w:val="00DB574F"/>
    <w:rsid w:val="00DB5D42"/>
    <w:rsid w:val="00DB5D4F"/>
    <w:rsid w:val="00DB664F"/>
    <w:rsid w:val="00DB6A80"/>
    <w:rsid w:val="00DB6C06"/>
    <w:rsid w:val="00DB6D7D"/>
    <w:rsid w:val="00DB7B06"/>
    <w:rsid w:val="00DC0249"/>
    <w:rsid w:val="00DC043D"/>
    <w:rsid w:val="00DC0612"/>
    <w:rsid w:val="00DC070D"/>
    <w:rsid w:val="00DC08B1"/>
    <w:rsid w:val="00DC0ABC"/>
    <w:rsid w:val="00DC0B14"/>
    <w:rsid w:val="00DC0E6E"/>
    <w:rsid w:val="00DC0EA9"/>
    <w:rsid w:val="00DC1070"/>
    <w:rsid w:val="00DC116E"/>
    <w:rsid w:val="00DC17B6"/>
    <w:rsid w:val="00DC1FC3"/>
    <w:rsid w:val="00DC2120"/>
    <w:rsid w:val="00DC2E2C"/>
    <w:rsid w:val="00DC2F5A"/>
    <w:rsid w:val="00DC2F6A"/>
    <w:rsid w:val="00DC318A"/>
    <w:rsid w:val="00DC33A1"/>
    <w:rsid w:val="00DC367C"/>
    <w:rsid w:val="00DC3712"/>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909"/>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93A"/>
    <w:rsid w:val="00DD698F"/>
    <w:rsid w:val="00DD6B32"/>
    <w:rsid w:val="00DD70CA"/>
    <w:rsid w:val="00DD746C"/>
    <w:rsid w:val="00DD7682"/>
    <w:rsid w:val="00DD7826"/>
    <w:rsid w:val="00DD7B8A"/>
    <w:rsid w:val="00DD7C5B"/>
    <w:rsid w:val="00DE0297"/>
    <w:rsid w:val="00DE070A"/>
    <w:rsid w:val="00DE08DF"/>
    <w:rsid w:val="00DE091E"/>
    <w:rsid w:val="00DE1164"/>
    <w:rsid w:val="00DE1336"/>
    <w:rsid w:val="00DE1687"/>
    <w:rsid w:val="00DE18A3"/>
    <w:rsid w:val="00DE1904"/>
    <w:rsid w:val="00DE1A4D"/>
    <w:rsid w:val="00DE1B9E"/>
    <w:rsid w:val="00DE1DAA"/>
    <w:rsid w:val="00DE1FD2"/>
    <w:rsid w:val="00DE20D6"/>
    <w:rsid w:val="00DE22D8"/>
    <w:rsid w:val="00DE2377"/>
    <w:rsid w:val="00DE25FC"/>
    <w:rsid w:val="00DE261D"/>
    <w:rsid w:val="00DE26DA"/>
    <w:rsid w:val="00DE2EFF"/>
    <w:rsid w:val="00DE32EC"/>
    <w:rsid w:val="00DE3AC8"/>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624"/>
    <w:rsid w:val="00DE7A41"/>
    <w:rsid w:val="00DE7B66"/>
    <w:rsid w:val="00DF001B"/>
    <w:rsid w:val="00DF01B4"/>
    <w:rsid w:val="00DF0215"/>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159"/>
    <w:rsid w:val="00DF21A3"/>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AEF"/>
    <w:rsid w:val="00E01DE6"/>
    <w:rsid w:val="00E02244"/>
    <w:rsid w:val="00E0276C"/>
    <w:rsid w:val="00E02885"/>
    <w:rsid w:val="00E02EDB"/>
    <w:rsid w:val="00E0304C"/>
    <w:rsid w:val="00E031BB"/>
    <w:rsid w:val="00E034EA"/>
    <w:rsid w:val="00E03597"/>
    <w:rsid w:val="00E035D3"/>
    <w:rsid w:val="00E03946"/>
    <w:rsid w:val="00E03BF4"/>
    <w:rsid w:val="00E03D6F"/>
    <w:rsid w:val="00E0417B"/>
    <w:rsid w:val="00E043B2"/>
    <w:rsid w:val="00E044C9"/>
    <w:rsid w:val="00E04C06"/>
    <w:rsid w:val="00E04F04"/>
    <w:rsid w:val="00E051BA"/>
    <w:rsid w:val="00E05209"/>
    <w:rsid w:val="00E0576C"/>
    <w:rsid w:val="00E05806"/>
    <w:rsid w:val="00E0580D"/>
    <w:rsid w:val="00E05E3A"/>
    <w:rsid w:val="00E06175"/>
    <w:rsid w:val="00E0658D"/>
    <w:rsid w:val="00E068BC"/>
    <w:rsid w:val="00E06E84"/>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4A"/>
    <w:rsid w:val="00E11D7A"/>
    <w:rsid w:val="00E11D95"/>
    <w:rsid w:val="00E11EEB"/>
    <w:rsid w:val="00E11F01"/>
    <w:rsid w:val="00E11FB4"/>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DBC"/>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9B0"/>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74"/>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553"/>
    <w:rsid w:val="00E32CEE"/>
    <w:rsid w:val="00E32FC9"/>
    <w:rsid w:val="00E33078"/>
    <w:rsid w:val="00E339A8"/>
    <w:rsid w:val="00E33CB2"/>
    <w:rsid w:val="00E33E70"/>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E"/>
    <w:rsid w:val="00E37892"/>
    <w:rsid w:val="00E37898"/>
    <w:rsid w:val="00E37ABD"/>
    <w:rsid w:val="00E37B27"/>
    <w:rsid w:val="00E37BE5"/>
    <w:rsid w:val="00E37DD6"/>
    <w:rsid w:val="00E37FB4"/>
    <w:rsid w:val="00E37FBA"/>
    <w:rsid w:val="00E40378"/>
    <w:rsid w:val="00E40429"/>
    <w:rsid w:val="00E407E8"/>
    <w:rsid w:val="00E40B93"/>
    <w:rsid w:val="00E40CF8"/>
    <w:rsid w:val="00E412BB"/>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008"/>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0C63"/>
    <w:rsid w:val="00E51033"/>
    <w:rsid w:val="00E5111C"/>
    <w:rsid w:val="00E51150"/>
    <w:rsid w:val="00E511FD"/>
    <w:rsid w:val="00E51509"/>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4D44"/>
    <w:rsid w:val="00E55827"/>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A7D"/>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5FB6"/>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77F53"/>
    <w:rsid w:val="00E8008B"/>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4F6"/>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15D"/>
    <w:rsid w:val="00E869ED"/>
    <w:rsid w:val="00E86ECB"/>
    <w:rsid w:val="00E87224"/>
    <w:rsid w:val="00E87266"/>
    <w:rsid w:val="00E87742"/>
    <w:rsid w:val="00E87C5B"/>
    <w:rsid w:val="00E8B3D4"/>
    <w:rsid w:val="00E900E0"/>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616B"/>
    <w:rsid w:val="00E962F9"/>
    <w:rsid w:val="00E96456"/>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41C"/>
    <w:rsid w:val="00EA282C"/>
    <w:rsid w:val="00EA2987"/>
    <w:rsid w:val="00EA2C6E"/>
    <w:rsid w:val="00EA2E6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8F2"/>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76B"/>
    <w:rsid w:val="00EC181F"/>
    <w:rsid w:val="00EC1B86"/>
    <w:rsid w:val="00EC1CB2"/>
    <w:rsid w:val="00EC1CEA"/>
    <w:rsid w:val="00EC204E"/>
    <w:rsid w:val="00EC23C1"/>
    <w:rsid w:val="00EC249E"/>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813"/>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4AA"/>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B0C"/>
    <w:rsid w:val="00ED5BAA"/>
    <w:rsid w:val="00ED5DAF"/>
    <w:rsid w:val="00ED5F73"/>
    <w:rsid w:val="00ED6D4A"/>
    <w:rsid w:val="00ED6ED6"/>
    <w:rsid w:val="00ED6F9D"/>
    <w:rsid w:val="00ED721A"/>
    <w:rsid w:val="00ED734E"/>
    <w:rsid w:val="00ED738C"/>
    <w:rsid w:val="00ED7596"/>
    <w:rsid w:val="00ED770C"/>
    <w:rsid w:val="00ED7918"/>
    <w:rsid w:val="00ED7BF4"/>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77"/>
    <w:rsid w:val="00EF2EF8"/>
    <w:rsid w:val="00EF3133"/>
    <w:rsid w:val="00EF3554"/>
    <w:rsid w:val="00EF4099"/>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A0"/>
    <w:rsid w:val="00EF7EB4"/>
    <w:rsid w:val="00F0021E"/>
    <w:rsid w:val="00F0022B"/>
    <w:rsid w:val="00F00268"/>
    <w:rsid w:val="00F0030E"/>
    <w:rsid w:val="00F00542"/>
    <w:rsid w:val="00F006F1"/>
    <w:rsid w:val="00F009A5"/>
    <w:rsid w:val="00F00C50"/>
    <w:rsid w:val="00F00CD1"/>
    <w:rsid w:val="00F0121F"/>
    <w:rsid w:val="00F01655"/>
    <w:rsid w:val="00F01E41"/>
    <w:rsid w:val="00F01E6B"/>
    <w:rsid w:val="00F01F2A"/>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4A7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C2"/>
    <w:rsid w:val="00F07410"/>
    <w:rsid w:val="00F07601"/>
    <w:rsid w:val="00F076A9"/>
    <w:rsid w:val="00F0780D"/>
    <w:rsid w:val="00F07830"/>
    <w:rsid w:val="00F07C81"/>
    <w:rsid w:val="00F07E40"/>
    <w:rsid w:val="00F07F39"/>
    <w:rsid w:val="00F10288"/>
    <w:rsid w:val="00F105ED"/>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67A"/>
    <w:rsid w:val="00F13769"/>
    <w:rsid w:val="00F13A3D"/>
    <w:rsid w:val="00F13B57"/>
    <w:rsid w:val="00F142EE"/>
    <w:rsid w:val="00F14435"/>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4B9"/>
    <w:rsid w:val="00F2052B"/>
    <w:rsid w:val="00F207DA"/>
    <w:rsid w:val="00F2086A"/>
    <w:rsid w:val="00F20B8C"/>
    <w:rsid w:val="00F20E4C"/>
    <w:rsid w:val="00F211EC"/>
    <w:rsid w:val="00F21C37"/>
    <w:rsid w:val="00F21F0A"/>
    <w:rsid w:val="00F22183"/>
    <w:rsid w:val="00F2221E"/>
    <w:rsid w:val="00F2260F"/>
    <w:rsid w:val="00F2261A"/>
    <w:rsid w:val="00F22ACC"/>
    <w:rsid w:val="00F22CB1"/>
    <w:rsid w:val="00F23243"/>
    <w:rsid w:val="00F2332A"/>
    <w:rsid w:val="00F233F9"/>
    <w:rsid w:val="00F235CB"/>
    <w:rsid w:val="00F237BE"/>
    <w:rsid w:val="00F238F0"/>
    <w:rsid w:val="00F239C6"/>
    <w:rsid w:val="00F23B52"/>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23"/>
    <w:rsid w:val="00F26C96"/>
    <w:rsid w:val="00F27211"/>
    <w:rsid w:val="00F272E1"/>
    <w:rsid w:val="00F27589"/>
    <w:rsid w:val="00F2763A"/>
    <w:rsid w:val="00F276E0"/>
    <w:rsid w:val="00F27A57"/>
    <w:rsid w:val="00F27E4D"/>
    <w:rsid w:val="00F27EDE"/>
    <w:rsid w:val="00F27FA6"/>
    <w:rsid w:val="00F3016A"/>
    <w:rsid w:val="00F304B5"/>
    <w:rsid w:val="00F30570"/>
    <w:rsid w:val="00F30B5C"/>
    <w:rsid w:val="00F30E4D"/>
    <w:rsid w:val="00F30EAB"/>
    <w:rsid w:val="00F3132A"/>
    <w:rsid w:val="00F31638"/>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1F5"/>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AD4"/>
    <w:rsid w:val="00F42E34"/>
    <w:rsid w:val="00F432B9"/>
    <w:rsid w:val="00F43428"/>
    <w:rsid w:val="00F434B2"/>
    <w:rsid w:val="00F434BF"/>
    <w:rsid w:val="00F43894"/>
    <w:rsid w:val="00F43B82"/>
    <w:rsid w:val="00F43B96"/>
    <w:rsid w:val="00F43EDA"/>
    <w:rsid w:val="00F43FAE"/>
    <w:rsid w:val="00F43FD4"/>
    <w:rsid w:val="00F4414F"/>
    <w:rsid w:val="00F442B9"/>
    <w:rsid w:val="00F445D5"/>
    <w:rsid w:val="00F44722"/>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BA"/>
    <w:rsid w:val="00F560FE"/>
    <w:rsid w:val="00F5638D"/>
    <w:rsid w:val="00F5686A"/>
    <w:rsid w:val="00F56970"/>
    <w:rsid w:val="00F56F29"/>
    <w:rsid w:val="00F57085"/>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7AE"/>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4FB6"/>
    <w:rsid w:val="00F750DB"/>
    <w:rsid w:val="00F75330"/>
    <w:rsid w:val="00F75467"/>
    <w:rsid w:val="00F75B66"/>
    <w:rsid w:val="00F760E4"/>
    <w:rsid w:val="00F76365"/>
    <w:rsid w:val="00F76560"/>
    <w:rsid w:val="00F767DF"/>
    <w:rsid w:val="00F76BD9"/>
    <w:rsid w:val="00F76CC5"/>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8F"/>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4D9"/>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6A6"/>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77B"/>
    <w:rsid w:val="00F9285D"/>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4E52"/>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5F3"/>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51A"/>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71"/>
    <w:rsid w:val="00FB3624"/>
    <w:rsid w:val="00FB3661"/>
    <w:rsid w:val="00FB3750"/>
    <w:rsid w:val="00FB3B05"/>
    <w:rsid w:val="00FB3CB7"/>
    <w:rsid w:val="00FB3E10"/>
    <w:rsid w:val="00FB3F1F"/>
    <w:rsid w:val="00FB4009"/>
    <w:rsid w:val="00FB401D"/>
    <w:rsid w:val="00FB41FC"/>
    <w:rsid w:val="00FB4B8A"/>
    <w:rsid w:val="00FB4DE5"/>
    <w:rsid w:val="00FB4F43"/>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58B"/>
    <w:rsid w:val="00FB7A0B"/>
    <w:rsid w:val="00FB7B6B"/>
    <w:rsid w:val="00FB7E61"/>
    <w:rsid w:val="00FB7F58"/>
    <w:rsid w:val="00FC0065"/>
    <w:rsid w:val="00FC040C"/>
    <w:rsid w:val="00FC062F"/>
    <w:rsid w:val="00FC069F"/>
    <w:rsid w:val="00FC0754"/>
    <w:rsid w:val="00FC09FA"/>
    <w:rsid w:val="00FC0D45"/>
    <w:rsid w:val="00FC0F87"/>
    <w:rsid w:val="00FC154D"/>
    <w:rsid w:val="00FC1571"/>
    <w:rsid w:val="00FC15D6"/>
    <w:rsid w:val="00FC1940"/>
    <w:rsid w:val="00FC2DB8"/>
    <w:rsid w:val="00FC2FC7"/>
    <w:rsid w:val="00FC31B4"/>
    <w:rsid w:val="00FC33B2"/>
    <w:rsid w:val="00FC389D"/>
    <w:rsid w:val="00FC3A3F"/>
    <w:rsid w:val="00FC3AEE"/>
    <w:rsid w:val="00FC3D21"/>
    <w:rsid w:val="00FC4128"/>
    <w:rsid w:val="00FC43CE"/>
    <w:rsid w:val="00FC43E7"/>
    <w:rsid w:val="00FC4521"/>
    <w:rsid w:val="00FC460D"/>
    <w:rsid w:val="00FC463B"/>
    <w:rsid w:val="00FC47A6"/>
    <w:rsid w:val="00FC48BE"/>
    <w:rsid w:val="00FC4AC5"/>
    <w:rsid w:val="00FC4EB3"/>
    <w:rsid w:val="00FC50DE"/>
    <w:rsid w:val="00FC577F"/>
    <w:rsid w:val="00FC57E3"/>
    <w:rsid w:val="00FC58DE"/>
    <w:rsid w:val="00FC604F"/>
    <w:rsid w:val="00FC6238"/>
    <w:rsid w:val="00FC62E1"/>
    <w:rsid w:val="00FC6371"/>
    <w:rsid w:val="00FC6385"/>
    <w:rsid w:val="00FC6587"/>
    <w:rsid w:val="00FC6655"/>
    <w:rsid w:val="00FC66FD"/>
    <w:rsid w:val="00FC67AF"/>
    <w:rsid w:val="00FC6A76"/>
    <w:rsid w:val="00FC6D13"/>
    <w:rsid w:val="00FC7068"/>
    <w:rsid w:val="00FC71E9"/>
    <w:rsid w:val="00FC7599"/>
    <w:rsid w:val="00FC7926"/>
    <w:rsid w:val="00FC7951"/>
    <w:rsid w:val="00FC7EAE"/>
    <w:rsid w:val="00FD0202"/>
    <w:rsid w:val="00FD0622"/>
    <w:rsid w:val="00FD0635"/>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7A5"/>
    <w:rsid w:val="00FD5812"/>
    <w:rsid w:val="00FD5890"/>
    <w:rsid w:val="00FD5CBB"/>
    <w:rsid w:val="00FD6156"/>
    <w:rsid w:val="00FD61A3"/>
    <w:rsid w:val="00FD62FB"/>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D21"/>
    <w:rsid w:val="00FE2E2B"/>
    <w:rsid w:val="00FE319F"/>
    <w:rsid w:val="00FE3308"/>
    <w:rsid w:val="00FE330B"/>
    <w:rsid w:val="00FE330C"/>
    <w:rsid w:val="00FE3373"/>
    <w:rsid w:val="00FE35FB"/>
    <w:rsid w:val="00FE36F9"/>
    <w:rsid w:val="00FE3761"/>
    <w:rsid w:val="00FE38BC"/>
    <w:rsid w:val="00FE3AD9"/>
    <w:rsid w:val="00FE3D2C"/>
    <w:rsid w:val="00FE3D92"/>
    <w:rsid w:val="00FE3E57"/>
    <w:rsid w:val="00FE446C"/>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A3F"/>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1C1"/>
    <w:rsid w:val="00FF4731"/>
    <w:rsid w:val="00FF4A56"/>
    <w:rsid w:val="00FF4C2E"/>
    <w:rsid w:val="00FF4C8E"/>
    <w:rsid w:val="00FF4EAA"/>
    <w:rsid w:val="00FF4F8A"/>
    <w:rsid w:val="00FF4F92"/>
    <w:rsid w:val="00FF54EB"/>
    <w:rsid w:val="00FF5844"/>
    <w:rsid w:val="00FF5EE1"/>
    <w:rsid w:val="00FF5FD2"/>
    <w:rsid w:val="00FF61A8"/>
    <w:rsid w:val="00FF66B8"/>
    <w:rsid w:val="00FF674F"/>
    <w:rsid w:val="00FF6822"/>
    <w:rsid w:val="00FF698D"/>
    <w:rsid w:val="00FF69FF"/>
    <w:rsid w:val="00FF705E"/>
    <w:rsid w:val="00FF73D0"/>
    <w:rsid w:val="00FF75B0"/>
    <w:rsid w:val="011B415A"/>
    <w:rsid w:val="012681EE"/>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6D59"/>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AEC72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E81F59"/>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BBE1D7"/>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D7EE38"/>
    <w:rsid w:val="68EC608F"/>
    <w:rsid w:val="68FE4E66"/>
    <w:rsid w:val="690FE552"/>
    <w:rsid w:val="691F6D50"/>
    <w:rsid w:val="6933ECDB"/>
    <w:rsid w:val="6946FDDB"/>
    <w:rsid w:val="697B111C"/>
    <w:rsid w:val="699910F2"/>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25B4B7"/>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0F0C484-EF6C-4ED2-B97C-11F84CE4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AD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styleId="IntenseReference">
    <w:name w:val="Intense Reference"/>
    <w:basedOn w:val="DefaultParagraphFont"/>
    <w:uiPriority w:val="32"/>
    <w:qFormat/>
    <w:rsid w:val="002778F9"/>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RBI5PAMIO524-1616901215-25965</_dlc_DocId>
    <_dlc_DocIdUrl xmlns="71c5aaf6-e6ce-465b-b873-5148d2a4c105">
      <Url>https://nokia.sharepoint.com/sites/gxp/_layouts/15/DocIdRedir.aspx?ID=RBI5PAMIO524-1616901215-25965</Url>
      <Description>RBI5PAMIO524-1616901215-25965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003127BA-2BB5-44B8-B18E-2DCFD4D71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14</TotalTime>
  <Pages>6</Pages>
  <Words>2432</Words>
  <Characters>13865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8</cp:revision>
  <cp:lastPrinted>2016-06-23T18:35:00Z</cp:lastPrinted>
  <dcterms:created xsi:type="dcterms:W3CDTF">2024-08-09T11:08:00Z</dcterms:created>
  <dcterms:modified xsi:type="dcterms:W3CDTF">2024-08-09T17:25:00Z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8fcad74e-14a0-4f77-a04f-1ff47bcb24f9</vt:lpwstr>
  </property>
  <property fmtid="{D5CDD505-2E9C-101B-9397-08002B2CF9AE}" pid="9" name="MediaServiceImageTags">
    <vt:lpwstr/>
  </property>
</Properties>
</file>